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F44D6A"/>
    <w:p w14:paraId="5642EE39">
      <w:pPr>
        <w:spacing w:line="56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21DDB7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70F378EE">
      <w:pPr>
        <w:spacing w:line="56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68A3510D">
      <w:pPr>
        <w:spacing w:line="560" w:lineRule="exact"/>
        <w:jc w:val="center"/>
        <w:rPr>
          <w:rFonts w:hint="default" w:ascii="Times New Roman" w:hAnsi="Times New Roman" w:eastAsia="方正仿宋简体" w:cs="Times New Roman"/>
          <w:b w:val="0"/>
          <w:bCs w:val="0"/>
          <w:kern w:val="0"/>
          <w:sz w:val="32"/>
          <w:szCs w:val="52"/>
        </w:rPr>
      </w:pPr>
    </w:p>
    <w:p w14:paraId="642CF8FC">
      <w:pPr>
        <w:spacing w:line="560" w:lineRule="exact"/>
        <w:jc w:val="center"/>
        <w:rPr>
          <w:rFonts w:hint="default" w:ascii="Times New Roman" w:hAnsi="Times New Roman" w:eastAsia="方正公文小标宋" w:cs="Times New Roman"/>
          <w:b w:val="0"/>
          <w:bCs w:val="0"/>
          <w:kern w:val="0"/>
          <w:sz w:val="48"/>
          <w:szCs w:val="48"/>
        </w:rPr>
      </w:pPr>
      <w:r>
        <w:rPr>
          <w:rFonts w:hint="default" w:ascii="Times New Roman" w:hAnsi="Times New Roman" w:eastAsia="方正公文小标宋" w:cs="Times New Roman"/>
          <w:b w:val="0"/>
          <w:bCs w:val="0"/>
          <w:kern w:val="0"/>
          <w:sz w:val="48"/>
          <w:szCs w:val="48"/>
        </w:rPr>
        <w:t>工会2024年实有资金收入项目支出</w:t>
      </w:r>
    </w:p>
    <w:p w14:paraId="023052BA">
      <w:pPr>
        <w:spacing w:line="560" w:lineRule="exact"/>
        <w:jc w:val="center"/>
        <w:rPr>
          <w:rFonts w:hint="default" w:ascii="Times New Roman" w:hAnsi="Times New Roman" w:eastAsia="方正公文小标宋" w:cs="Times New Roman"/>
          <w:b w:val="0"/>
          <w:bCs w:val="0"/>
          <w:kern w:val="0"/>
          <w:sz w:val="48"/>
          <w:szCs w:val="48"/>
        </w:rPr>
      </w:pPr>
      <w:r>
        <w:rPr>
          <w:rFonts w:hint="default" w:ascii="Times New Roman" w:hAnsi="Times New Roman" w:eastAsia="方正公文小标宋" w:cs="Times New Roman"/>
          <w:b w:val="0"/>
          <w:bCs w:val="0"/>
          <w:kern w:val="0"/>
          <w:sz w:val="48"/>
          <w:szCs w:val="48"/>
        </w:rPr>
        <w:t>绩效评价报告</w:t>
      </w:r>
    </w:p>
    <w:p w14:paraId="48F8D5FA">
      <w:pPr>
        <w:spacing w:line="56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4518A9BB">
      <w:pPr>
        <w:spacing w:line="560" w:lineRule="exact"/>
        <w:jc w:val="center"/>
        <w:rPr>
          <w:rFonts w:hint="default" w:ascii="Times New Roman" w:hAnsi="Times New Roman" w:eastAsia="方正仿宋简体" w:cs="Times New Roman"/>
          <w:b w:val="0"/>
          <w:bCs w:val="0"/>
          <w:kern w:val="0"/>
          <w:sz w:val="36"/>
          <w:szCs w:val="36"/>
        </w:rPr>
      </w:pPr>
      <w:r>
        <w:rPr>
          <w:rFonts w:hint="default" w:ascii="Times New Roman" w:hAnsi="Times New Roman" w:eastAsia="方正仿宋简体" w:cs="Times New Roman"/>
          <w:b w:val="0"/>
          <w:bCs w:val="0"/>
          <w:kern w:val="0"/>
          <w:sz w:val="36"/>
          <w:szCs w:val="36"/>
        </w:rPr>
        <w:t>（202</w:t>
      </w:r>
      <w:r>
        <w:rPr>
          <w:rFonts w:hint="default" w:ascii="Times New Roman" w:hAnsi="Times New Roman" w:eastAsia="方正仿宋简体" w:cs="Times New Roman"/>
          <w:b w:val="0"/>
          <w:bCs w:val="0"/>
          <w:kern w:val="0"/>
          <w:sz w:val="36"/>
          <w:szCs w:val="36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b w:val="0"/>
          <w:bCs w:val="0"/>
          <w:kern w:val="0"/>
          <w:sz w:val="36"/>
          <w:szCs w:val="36"/>
        </w:rPr>
        <w:t>年度）</w:t>
      </w:r>
    </w:p>
    <w:p w14:paraId="5F60D8F3">
      <w:pPr>
        <w:spacing w:line="560" w:lineRule="exact"/>
        <w:jc w:val="center"/>
        <w:rPr>
          <w:rFonts w:hint="default" w:ascii="Times New Roman" w:hAnsi="Times New Roman" w:eastAsia="方正仿宋简体" w:cs="Times New Roman"/>
          <w:b w:val="0"/>
          <w:bCs w:val="0"/>
          <w:kern w:val="0"/>
          <w:sz w:val="30"/>
          <w:szCs w:val="30"/>
        </w:rPr>
      </w:pPr>
    </w:p>
    <w:p w14:paraId="34335BB1">
      <w:pPr>
        <w:spacing w:line="560" w:lineRule="exact"/>
        <w:jc w:val="center"/>
        <w:rPr>
          <w:rFonts w:hint="default" w:ascii="Times New Roman" w:hAnsi="Times New Roman" w:eastAsia="方正仿宋简体" w:cs="Times New Roman"/>
          <w:b w:val="0"/>
          <w:bCs w:val="0"/>
          <w:kern w:val="0"/>
          <w:sz w:val="30"/>
          <w:szCs w:val="30"/>
        </w:rPr>
      </w:pPr>
    </w:p>
    <w:p w14:paraId="400FA63C">
      <w:pPr>
        <w:spacing w:line="560" w:lineRule="exact"/>
        <w:jc w:val="center"/>
        <w:rPr>
          <w:rFonts w:hint="default" w:ascii="Times New Roman" w:hAnsi="Times New Roman" w:eastAsia="方正仿宋简体" w:cs="Times New Roman"/>
          <w:b w:val="0"/>
          <w:bCs w:val="0"/>
          <w:kern w:val="0"/>
          <w:sz w:val="30"/>
          <w:szCs w:val="30"/>
        </w:rPr>
      </w:pPr>
    </w:p>
    <w:p w14:paraId="34D95507">
      <w:pPr>
        <w:widowControl/>
        <w:spacing w:before="240" w:after="60" w:line="560" w:lineRule="exact"/>
        <w:jc w:val="center"/>
        <w:outlineLvl w:val="0"/>
        <w:rPr>
          <w:rFonts w:hint="default" w:ascii="Times New Roman" w:hAnsi="Times New Roman" w:eastAsia="宋体" w:cs="Times New Roman"/>
          <w:b/>
          <w:bCs/>
          <w:kern w:val="28"/>
          <w:sz w:val="32"/>
          <w:szCs w:val="32"/>
          <w:lang w:val="en-US" w:eastAsia="zh-CN" w:bidi="ar-SA"/>
        </w:rPr>
      </w:pPr>
    </w:p>
    <w:p w14:paraId="4FC8F354">
      <w:pPr>
        <w:spacing w:line="560" w:lineRule="exact"/>
        <w:jc w:val="center"/>
        <w:rPr>
          <w:rFonts w:hint="default" w:ascii="Times New Roman" w:hAnsi="Times New Roman" w:eastAsia="方正仿宋简体" w:cs="Times New Roman"/>
          <w:b w:val="0"/>
          <w:bCs w:val="0"/>
          <w:kern w:val="0"/>
          <w:sz w:val="30"/>
          <w:szCs w:val="30"/>
        </w:rPr>
      </w:pPr>
    </w:p>
    <w:p w14:paraId="6049FDE9">
      <w:pPr>
        <w:spacing w:line="560" w:lineRule="exact"/>
        <w:rPr>
          <w:rFonts w:hint="default" w:ascii="Times New Roman" w:hAnsi="Times New Roman" w:eastAsia="方正仿宋简体" w:cs="Times New Roman"/>
          <w:b w:val="0"/>
          <w:bCs w:val="0"/>
          <w:kern w:val="0"/>
          <w:sz w:val="30"/>
          <w:szCs w:val="30"/>
        </w:rPr>
      </w:pPr>
    </w:p>
    <w:p w14:paraId="6F50B235">
      <w:pPr>
        <w:spacing w:line="560" w:lineRule="exact"/>
        <w:ind w:firstLine="1424" w:firstLineChars="400"/>
        <w:jc w:val="left"/>
        <w:rPr>
          <w:rFonts w:hint="eastAsia" w:ascii="Times New Roman" w:hAnsi="Times New Roman" w:eastAsia="方正仿宋简体" w:cs="Times New Roman"/>
          <w:b w:val="0"/>
          <w:bCs w:val="0"/>
          <w:kern w:val="0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kern w:val="0"/>
          <w:sz w:val="36"/>
          <w:szCs w:val="36"/>
        </w:rPr>
        <w:t>项目名称：工会2024年实有资金收入</w:t>
      </w:r>
      <w:r>
        <w:rPr>
          <w:rFonts w:hint="eastAsia" w:ascii="Times New Roman" w:hAnsi="方正仿宋简体" w:eastAsia="方正仿宋简体" w:cs="Times New Roman"/>
          <w:b w:val="0"/>
          <w:bCs w:val="0"/>
          <w:kern w:val="0"/>
          <w:sz w:val="36"/>
          <w:szCs w:val="36"/>
          <w:lang w:val="en-US" w:eastAsia="zh-CN"/>
        </w:rPr>
        <w:t>项目</w:t>
      </w:r>
    </w:p>
    <w:p w14:paraId="7C0EF9D1">
      <w:pPr>
        <w:spacing w:line="560" w:lineRule="exact"/>
        <w:ind w:firstLine="1424" w:firstLineChars="400"/>
        <w:jc w:val="left"/>
        <w:rPr>
          <w:rFonts w:hint="default" w:ascii="Times New Roman" w:hAnsi="Times New Roman" w:eastAsia="方正仿宋简体" w:cs="Times New Roman"/>
          <w:b w:val="0"/>
          <w:bCs w:val="0"/>
          <w:kern w:val="0"/>
          <w:sz w:val="36"/>
          <w:szCs w:val="36"/>
        </w:rPr>
      </w:pPr>
      <w:r>
        <w:rPr>
          <w:rFonts w:hint="default" w:ascii="Times New Roman" w:hAnsi="Times New Roman" w:eastAsia="方正仿宋简体" w:cs="Times New Roman"/>
          <w:b w:val="0"/>
          <w:bCs w:val="0"/>
          <w:kern w:val="0"/>
          <w:sz w:val="36"/>
          <w:szCs w:val="36"/>
        </w:rPr>
        <w:t>实施单位（公章）：</w:t>
      </w:r>
      <w:r>
        <w:rPr>
          <w:rFonts w:hint="eastAsia" w:ascii="Times New Roman" w:hAnsi="Times New Roman" w:eastAsia="方正仿宋简体" w:cs="Times New Roman"/>
          <w:b w:val="0"/>
          <w:bCs w:val="0"/>
          <w:kern w:val="0"/>
          <w:sz w:val="36"/>
          <w:szCs w:val="36"/>
        </w:rPr>
        <w:t>霍尔果斯市总工会</w:t>
      </w:r>
    </w:p>
    <w:p w14:paraId="6D4CF878">
      <w:pPr>
        <w:spacing w:line="560" w:lineRule="exact"/>
        <w:ind w:firstLine="1424" w:firstLineChars="400"/>
        <w:jc w:val="left"/>
        <w:rPr>
          <w:rFonts w:hint="default" w:ascii="Times New Roman" w:hAnsi="Times New Roman" w:eastAsia="方正仿宋简体" w:cs="Times New Roman"/>
          <w:b w:val="0"/>
          <w:bCs w:val="0"/>
          <w:kern w:val="0"/>
          <w:sz w:val="36"/>
          <w:szCs w:val="36"/>
        </w:rPr>
      </w:pPr>
      <w:r>
        <w:rPr>
          <w:rFonts w:hint="default" w:ascii="Times New Roman" w:hAnsi="Times New Roman" w:eastAsia="方正仿宋简体" w:cs="Times New Roman"/>
          <w:b w:val="0"/>
          <w:bCs w:val="0"/>
          <w:kern w:val="0"/>
          <w:sz w:val="36"/>
          <w:szCs w:val="36"/>
        </w:rPr>
        <w:t>主管部门（公章）：</w:t>
      </w:r>
      <w:r>
        <w:rPr>
          <w:rFonts w:hint="eastAsia" w:ascii="Times New Roman" w:hAnsi="Times New Roman" w:eastAsia="方正仿宋简体" w:cs="Times New Roman"/>
          <w:b w:val="0"/>
          <w:bCs w:val="0"/>
          <w:kern w:val="0"/>
          <w:sz w:val="36"/>
          <w:szCs w:val="36"/>
        </w:rPr>
        <w:t>霍尔果斯市总工会</w:t>
      </w:r>
    </w:p>
    <w:p w14:paraId="60C0A269">
      <w:pPr>
        <w:spacing w:line="560" w:lineRule="exact"/>
        <w:ind w:firstLine="1424" w:firstLineChars="400"/>
        <w:jc w:val="left"/>
        <w:rPr>
          <w:rFonts w:hint="eastAsia" w:ascii="Times New Roman" w:hAnsi="Times New Roman" w:eastAsia="方正仿宋简体" w:cs="Times New Roman"/>
          <w:b w:val="0"/>
          <w:bCs w:val="0"/>
          <w:kern w:val="0"/>
          <w:sz w:val="36"/>
          <w:szCs w:val="36"/>
          <w:lang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kern w:val="0"/>
          <w:sz w:val="36"/>
          <w:szCs w:val="36"/>
        </w:rPr>
        <w:t>项目负责人（签章）：</w:t>
      </w:r>
      <w:r>
        <w:rPr>
          <w:rFonts w:hint="eastAsia" w:ascii="Times New Roman" w:hAnsi="方正仿宋简体" w:eastAsia="方正仿宋简体" w:cs="Times New Roman"/>
          <w:b w:val="0"/>
          <w:bCs w:val="0"/>
          <w:kern w:val="0"/>
          <w:sz w:val="36"/>
          <w:szCs w:val="36"/>
          <w:lang w:val="en-US" w:eastAsia="zh-CN"/>
        </w:rPr>
        <w:t>朱诗怡</w:t>
      </w:r>
    </w:p>
    <w:p w14:paraId="40CB8F89">
      <w:pPr>
        <w:spacing w:line="560" w:lineRule="exact"/>
        <w:ind w:firstLine="1424" w:firstLineChars="400"/>
        <w:jc w:val="left"/>
        <w:rPr>
          <w:rFonts w:hint="default" w:ascii="Times New Roman" w:hAnsi="Times New Roman" w:eastAsia="方正仿宋简体" w:cs="Times New Roman"/>
          <w:b w:val="0"/>
          <w:bCs w:val="0"/>
          <w:kern w:val="0"/>
          <w:sz w:val="36"/>
          <w:szCs w:val="36"/>
        </w:rPr>
      </w:pPr>
      <w:r>
        <w:rPr>
          <w:rFonts w:hint="default" w:ascii="Times New Roman" w:hAnsi="Times New Roman" w:eastAsia="方正仿宋简体" w:cs="Times New Roman"/>
          <w:b w:val="0"/>
          <w:bCs w:val="0"/>
          <w:kern w:val="0"/>
          <w:sz w:val="36"/>
          <w:szCs w:val="36"/>
        </w:rPr>
        <w:t>填报时间：</w:t>
      </w:r>
      <w:r>
        <w:rPr>
          <w:rFonts w:hint="eastAsia" w:ascii="Times New Roman" w:hAnsi="方正仿宋简体" w:eastAsia="方正仿宋简体" w:cs="Times New Roman"/>
          <w:b w:val="0"/>
          <w:bCs w:val="0"/>
          <w:kern w:val="0"/>
          <w:sz w:val="36"/>
          <w:szCs w:val="36"/>
          <w:lang w:val="en-US" w:eastAsia="zh-CN"/>
        </w:rPr>
        <w:t>2025</w:t>
      </w:r>
      <w:r>
        <w:rPr>
          <w:rFonts w:hint="default" w:ascii="Times New Roman" w:hAnsi="Times New Roman" w:eastAsia="方正仿宋简体" w:cs="Times New Roman"/>
          <w:b w:val="0"/>
          <w:bCs w:val="0"/>
          <w:kern w:val="0"/>
          <w:sz w:val="36"/>
          <w:szCs w:val="36"/>
        </w:rPr>
        <w:t>年</w:t>
      </w:r>
      <w:r>
        <w:rPr>
          <w:rFonts w:hint="eastAsia" w:ascii="Times New Roman" w:hAnsi="方正仿宋简体" w:eastAsia="方正仿宋简体" w:cs="Times New Roman"/>
          <w:b w:val="0"/>
          <w:bCs w:val="0"/>
          <w:kern w:val="0"/>
          <w:sz w:val="36"/>
          <w:szCs w:val="36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b w:val="0"/>
          <w:bCs w:val="0"/>
          <w:kern w:val="0"/>
          <w:sz w:val="36"/>
          <w:szCs w:val="36"/>
        </w:rPr>
        <w:t>月</w:t>
      </w:r>
      <w:r>
        <w:rPr>
          <w:rFonts w:hint="eastAsia" w:ascii="Times New Roman" w:hAnsi="方正仿宋简体" w:eastAsia="方正仿宋简体" w:cs="Times New Roman"/>
          <w:b w:val="0"/>
          <w:bCs w:val="0"/>
          <w:kern w:val="0"/>
          <w:sz w:val="36"/>
          <w:szCs w:val="36"/>
          <w:lang w:val="en-US" w:eastAsia="zh-CN"/>
        </w:rPr>
        <w:t>15</w:t>
      </w:r>
      <w:r>
        <w:rPr>
          <w:rFonts w:hint="default" w:ascii="Times New Roman" w:hAnsi="Times New Roman" w:eastAsia="方正仿宋简体" w:cs="Times New Roman"/>
          <w:b w:val="0"/>
          <w:bCs w:val="0"/>
          <w:kern w:val="0"/>
          <w:sz w:val="36"/>
          <w:szCs w:val="36"/>
        </w:rPr>
        <w:t>日</w:t>
      </w:r>
    </w:p>
    <w:p w14:paraId="047D7FAA">
      <w:pPr>
        <w:spacing w:line="560" w:lineRule="exact"/>
        <w:jc w:val="center"/>
        <w:rPr>
          <w:rFonts w:hint="default" w:ascii="Times New Roman" w:hAnsi="Times New Roman" w:eastAsia="方正仿宋简体" w:cs="Times New Roman"/>
          <w:b w:val="0"/>
          <w:bCs w:val="0"/>
          <w:kern w:val="0"/>
          <w:sz w:val="30"/>
          <w:szCs w:val="30"/>
        </w:rPr>
      </w:pPr>
    </w:p>
    <w:p w14:paraId="333C88F9">
      <w:pPr>
        <w:spacing w:line="560" w:lineRule="exact"/>
        <w:rPr>
          <w:rFonts w:hint="default" w:ascii="Times New Roman" w:hAnsi="Times New Roman" w:eastAsia="黑体" w:cs="Times New Roman"/>
          <w:b w:val="0"/>
          <w:bCs w:val="0"/>
          <w:spacing w:val="-4"/>
          <w:sz w:val="32"/>
          <w:szCs w:val="32"/>
        </w:rPr>
      </w:pPr>
    </w:p>
    <w:p w14:paraId="0351859E">
      <w:pPr>
        <w:spacing w:line="560" w:lineRule="exact"/>
        <w:ind w:firstLine="640"/>
        <w:rPr>
          <w:rFonts w:hint="default" w:ascii="Times New Roman" w:hAnsi="Times New Roman" w:eastAsia="黑体" w:cs="Times New Roman"/>
          <w:b w:val="0"/>
          <w:bCs w:val="0"/>
          <w:spacing w:val="-4"/>
          <w:sz w:val="32"/>
          <w:szCs w:val="32"/>
        </w:rPr>
      </w:pPr>
    </w:p>
    <w:p w14:paraId="10D62D80">
      <w:pPr>
        <w:spacing w:line="560" w:lineRule="exact"/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sectPr>
          <w:pgSz w:w="11906" w:h="16838"/>
          <w:pgMar w:top="2098" w:right="1531" w:bottom="1984" w:left="1531" w:header="851" w:footer="1400" w:gutter="0"/>
          <w:cols w:space="425" w:num="1"/>
          <w:docGrid w:type="linesAndChars" w:linePitch="579" w:charSpace="-849"/>
        </w:sectPr>
      </w:pPr>
    </w:p>
    <w:p w14:paraId="280362DE">
      <w:pPr>
        <w:spacing w:line="560" w:lineRule="exact"/>
        <w:ind w:firstLine="632" w:firstLineChars="200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</w:rPr>
        <w:t>一、基本情况</w:t>
      </w:r>
    </w:p>
    <w:p w14:paraId="70E13201">
      <w:pPr>
        <w:spacing w:line="560" w:lineRule="exact"/>
        <w:ind w:firstLine="632" w:firstLineChars="200"/>
        <w:rPr>
          <w:rFonts w:hint="default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</w:rPr>
        <w:t>（一）项目概况</w:t>
      </w:r>
    </w:p>
    <w:p w14:paraId="64AB8A8B">
      <w:pPr>
        <w:spacing w:line="560" w:lineRule="exact"/>
        <w:ind w:firstLine="632" w:firstLineChars="20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1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项目背景</w:t>
      </w:r>
    </w:p>
    <w:p w14:paraId="32F8CC4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Times New Roman" w:hAnsi="方正仿宋简体" w:eastAsia="方正仿宋简体" w:cs="方正仿宋简体"/>
          <w:b w:val="0"/>
          <w:bCs w:val="0"/>
          <w:color w:val="auto"/>
          <w:spacing w:val="-4"/>
          <w:sz w:val="32"/>
          <w:szCs w:val="32"/>
          <w:highlight w:val="yellow"/>
          <w:lang w:eastAsia="zh-CN"/>
        </w:rPr>
      </w:pP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</w:rPr>
        <w:t>霍尔果斯工会团结引领全市职工群众阔步向前，谱写新时代霍尔果斯工会工作的崭新篇章。霍尔果斯市总工会在霍尔果斯市委和伊犁州总工会的坚强领导下，深入学习贯彻习近平新时代中国特色社会主义思想，学习贯彻习近平总书记听取自治区和兵团工作汇报时重要讲话精神，完整准确全面贯彻新时代党的治疆方略，以铸牢中华民族共同体意识为主线，认真履行维权服务基本职责，展现新时代工会组织的新担当、新作为，为实现霍尔果斯高质量发展作出工会贡献。着力维护职工群众劳动经济权益。完善职工工资决定、合理增长、支付保障机制，健全技术工人薪酬激励机制，促进企业内部分配进一步向一线职工、技术工人倾斜，助力实现共同富裕。大力开展服务帮扶。积极推进职工服务阵地建设，建好用好工人文化宫、职工书屋、职工之家、服务中心等服务阵地。积极开展“十送”活动，帮助职工，温暖职工。</w:t>
      </w:r>
    </w:p>
    <w:p w14:paraId="3F4A093B">
      <w:pPr>
        <w:widowControl/>
        <w:numPr>
          <w:ilvl w:val="0"/>
          <w:numId w:val="0"/>
        </w:numPr>
        <w:spacing w:before="0" w:after="0" w:line="560" w:lineRule="exact"/>
        <w:ind w:firstLine="632" w:firstLineChars="200"/>
        <w:jc w:val="both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2.项目主要内容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及实施情况</w:t>
      </w:r>
    </w:p>
    <w:p w14:paraId="29C7B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  <w:lang w:val="en-US" w:eastAsia="zh-CN"/>
        </w:rPr>
        <w:t>项目主要内容：</w:t>
      </w:r>
      <w:r>
        <w:rPr>
          <w:rFonts w:hint="default"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</w:rPr>
        <w:t>2024年市总工会发挥工人文化宫作用，组织职工开展各类文体活动12场次，打造阵地7个，办公采购次数</w:t>
      </w:r>
      <w:r>
        <w:rPr>
          <w:rFonts w:hint="eastAsia" w:hAnsi="方正仿宋简体" w:cs="方正仿宋简体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</w:rPr>
        <w:t>次，完善职工工资决定、合理增长、支付保障机制，健全技术工人薪酬激励机制，促进企业内部分配进一步向一线职工、技术工人倾斜，助力实现共同富裕</w:t>
      </w:r>
      <w:r>
        <w:rPr>
          <w:rFonts w:hint="eastAsia" w:hAnsi="方正仿宋简体" w:cs="方正仿宋简体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 w14:paraId="304C901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highlight w:val="none"/>
        </w:rPr>
      </w:pPr>
      <w:r>
        <w:rPr>
          <w:rFonts w:hint="default"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  <w:lang w:val="en-US" w:eastAsia="zh-CN"/>
        </w:rPr>
        <w:t>项目实施情况：</w:t>
      </w:r>
      <w:r>
        <w:rPr>
          <w:rFonts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</w:rPr>
        <w:t>项目目前已经完成</w:t>
      </w: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  <w:lang w:val="en-US" w:eastAsia="zh-CN"/>
        </w:rPr>
        <w:t>12场文体活动，打造阵地7个</w:t>
      </w:r>
      <w:r>
        <w:rPr>
          <w:rFonts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</w:rPr>
        <w:t>，</w:t>
      </w: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  <w:lang w:val="en-US" w:eastAsia="zh-CN"/>
        </w:rPr>
        <w:t>活动出勤率达到98%，</w:t>
      </w:r>
      <w:r>
        <w:rPr>
          <w:rFonts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</w:rPr>
        <w:t>项目在实施过程中严格按照目标设立的各阶段任务进行开展工作，在前期立项过程中严格把质量关，建立安全防护机制，保证项目实施各阶段安全顺利进行。</w:t>
      </w:r>
    </w:p>
    <w:p w14:paraId="4C51FF55">
      <w:pPr>
        <w:spacing w:line="560" w:lineRule="exact"/>
        <w:ind w:firstLine="632" w:firstLineChars="20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3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资金投入和使用情况</w:t>
      </w:r>
    </w:p>
    <w:p w14:paraId="07D6E678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（1）资金投入情况</w:t>
      </w:r>
    </w:p>
    <w:p w14:paraId="5BDD6315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该项目年初预算数275.23万元，全年预算数275.23万元，该项目资金已全部落实到位，资金来源为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其他资金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。</w:t>
      </w:r>
    </w:p>
    <w:p w14:paraId="47286C41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（2）资金使用情况</w:t>
      </w:r>
    </w:p>
    <w:p w14:paraId="42199C84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该项目年初预算数275.23万元，全年预算数275.23万元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全年执行数万元，预算执行率为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68.88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%，主要用于：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2024年文体活动的开展，阵地打造，维权支出，办公室采购等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。</w:t>
      </w:r>
    </w:p>
    <w:p w14:paraId="6BCB32D8">
      <w:pPr>
        <w:spacing w:line="560" w:lineRule="exact"/>
        <w:ind w:firstLine="632" w:firstLineChars="200"/>
        <w:rPr>
          <w:rFonts w:hint="default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</w:rPr>
        <w:t>（二）项目绩效目标</w:t>
      </w:r>
    </w:p>
    <w:p w14:paraId="105371DB">
      <w:pPr>
        <w:spacing w:line="560" w:lineRule="exact"/>
        <w:ind w:firstLine="632" w:firstLineChars="20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1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总体目标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着力维护职工群众劳动经济权益。完善职工工资决定、合理增长、支付保障机制，健全技术工人薪酬激励机制，促进企业内部分配进一步向一线职工、技术工人倾斜，助力实现共同富裕。大力开展服务帮扶。积极推进职工服务阵地建设，建好用好工人文化宫、职工书屋、职工之家、服务中心等服务阵地。积极开展“十送”活动，帮助职工，温暖职工。</w:t>
      </w:r>
    </w:p>
    <w:p w14:paraId="1776A1C4">
      <w:pPr>
        <w:spacing w:line="560" w:lineRule="exact"/>
        <w:ind w:firstLine="632" w:firstLineChars="200"/>
        <w:rPr>
          <w:rFonts w:hint="default" w:ascii="Times New Roman" w:hAnsi="Times New Roman" w:eastAsia="黑体" w:cs="Times New Roman"/>
          <w:b w:val="0"/>
          <w:bCs w:val="0"/>
          <w:color w:val="auto"/>
          <w:highlight w:val="none"/>
          <w:lang w:eastAsia="zh-CN"/>
        </w:rPr>
      </w:pPr>
    </w:p>
    <w:p w14:paraId="096421DF">
      <w:pPr>
        <w:spacing w:line="560" w:lineRule="exact"/>
        <w:ind w:firstLine="632" w:firstLineChars="200"/>
        <w:rPr>
          <w:rFonts w:hint="default" w:ascii="Times New Roman" w:hAnsi="Times New Roman" w:eastAsia="黑体" w:cs="Times New Roman"/>
          <w:b w:val="0"/>
          <w:bCs w:val="0"/>
          <w:color w:val="auto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2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阶段性目标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2024年市总工会发挥工人文化宫作用，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2024年2月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组织职工开展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“荟聚良缘”职工活动，2024年3月开展了“工会杯篮球比赛”，2024年5月开展了3项职工文体活动，全年开展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各类文体活动12场次，打造阵地7个，办公采购次数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次，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严格按照政府采购流程：前期采购项目确立批准，确定采购方式、组织开标、评标，中期完成合同签订，后期建立严格的验收制度；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完善职工工资决定、合理增长、支付保障机制，健全技术工人薪酬激励机制，促进企业内部分配进一步向一线职工、技术工人倾斜，助力实现共同富裕。</w:t>
      </w:r>
    </w:p>
    <w:p w14:paraId="5723A439">
      <w:pPr>
        <w:spacing w:line="560" w:lineRule="exact"/>
        <w:ind w:firstLine="632" w:firstLineChars="200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</w:rPr>
        <w:t>二、绩效评价工作开展情况</w:t>
      </w:r>
    </w:p>
    <w:p w14:paraId="5EFE7D3E">
      <w:pPr>
        <w:spacing w:line="560" w:lineRule="exact"/>
        <w:ind w:firstLine="632" w:firstLineChars="200"/>
        <w:rPr>
          <w:rFonts w:hint="default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</w:rPr>
        <w:t>（一）绩效评价目的、对象和范围</w:t>
      </w:r>
    </w:p>
    <w:p w14:paraId="675E334C">
      <w:pPr>
        <w:widowControl w:val="0"/>
        <w:spacing w:before="0" w:after="0" w:line="560" w:lineRule="exact"/>
        <w:ind w:firstLine="632" w:firstLineChars="200"/>
        <w:jc w:val="both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1.绩效评价完整性</w:t>
      </w:r>
    </w:p>
    <w:p w14:paraId="18670D3A">
      <w:pPr>
        <w:spacing w:line="560" w:lineRule="exact"/>
        <w:ind w:firstLine="632" w:firstLineChars="20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</w:p>
    <w:p w14:paraId="26C68965">
      <w:pPr>
        <w:spacing w:line="560" w:lineRule="exact"/>
        <w:ind w:firstLine="632" w:firstLineChars="20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在评价指标体系的构建上，充分考虑了项目的性质、目标以及预期成果，选取了具有代表性和可衡量性的关键指标，涵盖了社会效益等多个维度，力求全方位反映项目的绩效状况。同时，对于每个指标的评价标准和数据来源均进行了明确说明，确保评价结果的客观性和可追溯性。</w:t>
      </w:r>
    </w:p>
    <w:p w14:paraId="0A665C0D">
      <w:pPr>
        <w:spacing w:line="560" w:lineRule="exact"/>
        <w:ind w:firstLine="632" w:firstLineChars="20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在数据收集与分析环节，采用了多种科学合理的方法，如实地调研、问卷调查、数据分析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</w:p>
    <w:p w14:paraId="5F819F20">
      <w:pPr>
        <w:spacing w:line="560" w:lineRule="exact"/>
        <w:ind w:firstLine="632" w:firstLineChars="20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</w:p>
    <w:p w14:paraId="57421784">
      <w:pPr>
        <w:spacing w:line="560" w:lineRule="exact"/>
        <w:ind w:firstLine="632" w:firstLineChars="20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</w:p>
    <w:p w14:paraId="6DB6D512">
      <w:pPr>
        <w:spacing w:line="560" w:lineRule="exact"/>
        <w:ind w:firstLine="632" w:firstLineChars="20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绩效评价的目的</w:t>
      </w:r>
    </w:p>
    <w:p w14:paraId="1CC4F1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（1）评估项目实施效果</w:t>
      </w:r>
    </w:p>
    <w:p w14:paraId="08C345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通过对项目预算执行情况及各项绩效目标达成程度的系统性分析，全面、客观地评估项目在预定周期内的实施效果，包括社会效益等多维度指标，为项目后续的改进与优化提供科学依据。</w:t>
      </w:r>
    </w:p>
    <w:p w14:paraId="4A2A74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（2）提升资源利用效率</w:t>
      </w:r>
    </w:p>
    <w:p w14:paraId="1E62F6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</w:p>
    <w:p w14:paraId="23C36C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（3）强化项目管理责任</w:t>
      </w:r>
    </w:p>
    <w:p w14:paraId="59A243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</w:p>
    <w:p w14:paraId="62BF2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（4）为决策提供支持</w:t>
      </w:r>
    </w:p>
    <w:p w14:paraId="75D514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</w:p>
    <w:p w14:paraId="04FF18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（5）促进项目持续改进</w:t>
      </w:r>
    </w:p>
    <w:p w14:paraId="79FE3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</w:p>
    <w:p w14:paraId="090FA0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</w:p>
    <w:p w14:paraId="77F467C2">
      <w:pPr>
        <w:widowControl w:val="0"/>
        <w:spacing w:before="0" w:after="0" w:line="560" w:lineRule="exact"/>
        <w:ind w:firstLine="632" w:firstLineChars="200"/>
        <w:jc w:val="both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3.绩效评价的对象</w:t>
      </w:r>
    </w:p>
    <w:p w14:paraId="354ED8DC">
      <w:pPr>
        <w:widowControl w:val="0"/>
        <w:spacing w:before="0" w:after="0" w:line="560" w:lineRule="exact"/>
        <w:ind w:firstLine="632" w:firstLineChars="200"/>
        <w:jc w:val="both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本项目预算绩效评价报告的评价对象是工会2024年实有资金收入项目及其预算执行情况。该项目由霍尔果斯市总工会负责实施，旨在着力维护职工群众劳动经济权益。项目预算涵盖从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2024年1月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至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2024年12月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的全部资金投入与支出，涉及资金总额为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275.23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万元。</w:t>
      </w:r>
    </w:p>
    <w:p w14:paraId="280B33BF">
      <w:pPr>
        <w:widowControl w:val="0"/>
        <w:spacing w:before="0" w:after="0" w:line="560" w:lineRule="exact"/>
        <w:ind w:firstLine="632" w:firstLineChars="200"/>
        <w:jc w:val="both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4.绩效评价的范围</w:t>
      </w:r>
    </w:p>
    <w:p w14:paraId="41271DE6">
      <w:pPr>
        <w:widowControl w:val="0"/>
        <w:spacing w:before="0" w:after="0" w:line="560" w:lineRule="exact"/>
        <w:ind w:firstLine="632" w:firstLineChars="200"/>
        <w:jc w:val="both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</w:p>
    <w:p w14:paraId="40E5777D">
      <w:pPr>
        <w:widowControl w:val="0"/>
        <w:numPr>
          <w:ilvl w:val="0"/>
          <w:numId w:val="1"/>
        </w:numPr>
        <w:spacing w:before="0" w:after="0" w:line="560" w:lineRule="exact"/>
        <w:ind w:firstLine="632" w:firstLineChars="200"/>
        <w:jc w:val="both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项目预算编制与执行：全面审视项目预算的编制依据、合理性、科学性以及实际执行情况，包括预算调整的原因和效果。</w:t>
      </w:r>
    </w:p>
    <w:p w14:paraId="5675B1C6">
      <w:pPr>
        <w:widowControl w:val="0"/>
        <w:numPr>
          <w:ilvl w:val="0"/>
          <w:numId w:val="1"/>
        </w:numPr>
        <w:spacing w:before="0" w:after="0" w:line="560" w:lineRule="exact"/>
        <w:ind w:firstLine="632" w:firstLineChars="200"/>
        <w:jc w:val="both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项目实施进度与产出：评估项目是否按照既定计划顺利推进，各项任务是否按时完成，以及项目产出的数量、质量和时效性是否符合预期。</w:t>
      </w:r>
    </w:p>
    <w:p w14:paraId="02F8EAB3">
      <w:pPr>
        <w:widowControl w:val="0"/>
        <w:numPr>
          <w:ilvl w:val="0"/>
          <w:numId w:val="0"/>
        </w:numPr>
        <w:spacing w:before="0" w:after="0" w:line="560" w:lineRule="exact"/>
        <w:ind w:firstLine="632" w:firstLineChars="200"/>
        <w:jc w:val="both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（3）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社会影响：考察项目对社会方面的综合影响。</w:t>
      </w:r>
    </w:p>
    <w:p w14:paraId="284BF0D0">
      <w:pPr>
        <w:spacing w:line="560" w:lineRule="exact"/>
        <w:ind w:firstLine="632" w:firstLineChars="200"/>
        <w:rPr>
          <w:rFonts w:hint="default" w:ascii="Times New Roman" w:hAnsi="Times New Roman" w:eastAsia="方正仿宋简体" w:cs="Times New Roman"/>
          <w:b w:val="0"/>
          <w:bCs w:val="0"/>
          <w:color w:val="auto"/>
          <w:highlight w:val="none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</w:rPr>
        <w:t>（二）绩效评价原则、评价指标体系（详情见表1）、评价方法、评价标准。</w:t>
      </w:r>
    </w:p>
    <w:p w14:paraId="6DF40D44">
      <w:pPr>
        <w:widowControl w:val="0"/>
        <w:spacing w:before="0" w:after="0" w:line="560" w:lineRule="exact"/>
        <w:ind w:firstLine="632" w:firstLineChars="200"/>
        <w:jc w:val="both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1.绩效评价原则</w:t>
      </w:r>
    </w:p>
    <w:p w14:paraId="10808A2C">
      <w:pPr>
        <w:spacing w:line="560" w:lineRule="exact"/>
        <w:ind w:firstLine="632" w:firstLineChars="20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本次项目绩效评价遵循以下基本原则：</w:t>
      </w:r>
    </w:p>
    <w:p w14:paraId="1F136A20">
      <w:pPr>
        <w:widowControl/>
        <w:spacing w:before="0" w:after="0" w:line="560" w:lineRule="exact"/>
        <w:ind w:firstLine="632" w:firstLineChars="200"/>
        <w:jc w:val="both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（1）科学公正。绩效评价应当运用科学合理的方法，按照规范的程序，对项目绩效进行客观、公正的反映。</w:t>
      </w:r>
    </w:p>
    <w:p w14:paraId="02CA4724">
      <w:pPr>
        <w:widowControl/>
        <w:spacing w:before="0" w:after="0" w:line="560" w:lineRule="exact"/>
        <w:ind w:firstLine="632" w:firstLineChars="200"/>
        <w:jc w:val="both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15C1DB70">
      <w:pPr>
        <w:widowControl/>
        <w:spacing w:before="0" w:after="0" w:line="560" w:lineRule="exact"/>
        <w:ind w:firstLine="632" w:firstLineChars="200"/>
        <w:jc w:val="both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58453328">
      <w:pPr>
        <w:widowControl/>
        <w:spacing w:before="0" w:after="0" w:line="560" w:lineRule="exact"/>
        <w:ind w:firstLine="632" w:firstLineChars="200"/>
        <w:jc w:val="both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（4）公开透明。绩效评价结果应依法依规公开，并自觉接受社会监督。</w:t>
      </w:r>
    </w:p>
    <w:p w14:paraId="4D63B48A">
      <w:pPr>
        <w:widowControl w:val="0"/>
        <w:spacing w:before="0" w:after="0" w:line="560" w:lineRule="exact"/>
        <w:ind w:firstLine="632" w:firstLineChars="200"/>
        <w:jc w:val="both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2.评价指标体系</w:t>
      </w:r>
    </w:p>
    <w:p w14:paraId="50448AE0">
      <w:pPr>
        <w:spacing w:line="560" w:lineRule="exact"/>
        <w:ind w:firstLine="700" w:firstLineChars="200"/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17"/>
          <w:sz w:val="32"/>
          <w:szCs w:val="32"/>
          <w:highlight w:val="none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10F81EE7">
      <w:pPr>
        <w:spacing w:line="560" w:lineRule="exact"/>
        <w:ind w:firstLine="700" w:firstLineChars="200"/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17"/>
          <w:sz w:val="32"/>
          <w:szCs w:val="32"/>
          <w:highlight w:val="none"/>
        </w:rPr>
        <w:t>（1）确定评价指标</w:t>
      </w:r>
    </w:p>
    <w:p w14:paraId="4994CA11">
      <w:pPr>
        <w:spacing w:line="560" w:lineRule="exact"/>
        <w:ind w:firstLine="700" w:firstLineChars="200"/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17"/>
          <w:sz w:val="32"/>
          <w:szCs w:val="32"/>
          <w:highlight w:val="none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5E40FA91">
      <w:pPr>
        <w:spacing w:line="560" w:lineRule="exact"/>
        <w:ind w:firstLine="700" w:firstLineChars="200"/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17"/>
          <w:sz w:val="32"/>
          <w:szCs w:val="32"/>
          <w:highlight w:val="none"/>
        </w:rPr>
        <w:t>（2）确定权重</w:t>
      </w:r>
    </w:p>
    <w:p w14:paraId="2375F65C">
      <w:pPr>
        <w:spacing w:line="560" w:lineRule="exact"/>
        <w:ind w:firstLine="700" w:firstLineChars="200"/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17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17"/>
          <w:sz w:val="32"/>
          <w:szCs w:val="32"/>
          <w:highlight w:val="none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0F58E39F">
      <w:pPr>
        <w:spacing w:line="560" w:lineRule="exact"/>
        <w:ind w:firstLine="700" w:firstLineChars="200"/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17"/>
          <w:sz w:val="32"/>
          <w:szCs w:val="32"/>
          <w:highlight w:val="none"/>
        </w:rPr>
        <w:t>（3）确定指标标准值</w:t>
      </w:r>
    </w:p>
    <w:p w14:paraId="39797F39">
      <w:pPr>
        <w:spacing w:line="560" w:lineRule="exact"/>
        <w:ind w:firstLine="700" w:firstLineChars="200"/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17"/>
          <w:sz w:val="32"/>
          <w:szCs w:val="32"/>
          <w:highlight w:val="none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07F49CA0">
      <w:pPr>
        <w:widowControl/>
        <w:spacing w:before="0" w:after="0" w:line="560" w:lineRule="exact"/>
        <w:ind w:firstLine="700" w:firstLineChars="200"/>
        <w:jc w:val="both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17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17"/>
          <w:kern w:val="2"/>
          <w:sz w:val="32"/>
          <w:szCs w:val="32"/>
          <w:highlight w:val="none"/>
          <w:lang w:val="en-US" w:eastAsia="zh-CN" w:bidi="ar-SA"/>
        </w:rPr>
        <w:t>绩效评价总分值100分，根据综合评分结果，90（含）-100分为优、80（含）-90分为良、60（含）-80分为中、60分以下为差。</w:t>
      </w:r>
    </w:p>
    <w:p w14:paraId="2316F7D6">
      <w:pPr>
        <w:widowControl w:val="0"/>
        <w:spacing w:before="0" w:after="0" w:line="560" w:lineRule="exact"/>
        <w:ind w:firstLine="700" w:firstLineChars="200"/>
        <w:jc w:val="both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17"/>
          <w:kern w:val="28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17"/>
          <w:kern w:val="28"/>
          <w:sz w:val="32"/>
          <w:szCs w:val="32"/>
          <w:highlight w:val="none"/>
          <w:lang w:val="en-US" w:eastAsia="zh-CN" w:bidi="ar-SA"/>
        </w:rPr>
        <w:t>具体评价指标体系详情见附件1</w:t>
      </w:r>
    </w:p>
    <w:p w14:paraId="6677A7E1">
      <w:pPr>
        <w:widowControl w:val="0"/>
        <w:spacing w:before="0" w:after="0" w:line="560" w:lineRule="exact"/>
        <w:ind w:firstLine="632" w:firstLineChars="200"/>
        <w:jc w:val="both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3.绩效评价方法</w:t>
      </w:r>
    </w:p>
    <w:p w14:paraId="4E57D385">
      <w:pPr>
        <w:spacing w:line="560" w:lineRule="exact"/>
        <w:ind w:firstLine="700" w:firstLineChars="200"/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17"/>
          <w:sz w:val="32"/>
          <w:szCs w:val="32"/>
          <w:highlight w:val="none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78CCF111">
      <w:pPr>
        <w:spacing w:line="560" w:lineRule="exact"/>
        <w:ind w:firstLine="700" w:firstLineChars="200"/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17"/>
          <w:sz w:val="32"/>
          <w:szCs w:val="32"/>
          <w:highlight w:val="none"/>
        </w:rPr>
        <w:t>本次评价指标中，既有定性指标又有定量指标，各类指标因考核内容不同和客观标准不同存在较大差异，因此核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27"/>
          <w:sz w:val="32"/>
          <w:szCs w:val="32"/>
          <w:highlight w:val="none"/>
        </w:rPr>
        <w:t>定具体指标时采用了不同方法，具体评价方法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pacing w:val="27"/>
          <w:sz w:val="32"/>
          <w:szCs w:val="32"/>
          <w:highlight w:val="none"/>
          <w:lang w:val="en-US" w:eastAsia="zh-CN"/>
        </w:rPr>
        <w:t>及原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pacing w:val="17"/>
          <w:sz w:val="32"/>
          <w:szCs w:val="32"/>
          <w:highlight w:val="none"/>
          <w:lang w:val="en-US" w:eastAsia="zh-CN"/>
        </w:rPr>
        <w:t>因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17"/>
          <w:sz w:val="32"/>
          <w:szCs w:val="32"/>
          <w:highlight w:val="none"/>
        </w:rPr>
        <w:t>如下：</w:t>
      </w:r>
    </w:p>
    <w:p w14:paraId="08FCA2E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00"/>
        <w:textAlignment w:val="auto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17"/>
          <w:sz w:val="32"/>
          <w:szCs w:val="32"/>
          <w:highlight w:val="none"/>
        </w:rPr>
      </w:pP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spacing w:val="17"/>
          <w:sz w:val="32"/>
          <w:szCs w:val="32"/>
          <w:highlight w:val="none"/>
          <w:lang w:val="en-US" w:eastAsia="zh-CN"/>
        </w:rPr>
        <w:t>通过维权费用支付112.32万元，</w:t>
      </w:r>
      <w:r>
        <w:rPr>
          <w:rFonts w:hint="eastAsia" w:ascii="Times New Roman" w:hAnsi="宋体" w:eastAsia="方正仿宋简体" w:cs="方正仿宋简体"/>
          <w:b w:val="0"/>
          <w:bCs w:val="0"/>
          <w:spacing w:val="8"/>
          <w:sz w:val="32"/>
          <w:szCs w:val="32"/>
          <w:shd w:val="clear" w:color="auto" w:fill="FFFFFF"/>
        </w:rPr>
        <w:t>走访摸排困难职工9户35人，已收集相关印证材料，完成与相关单位协调征询其家庭状况信息核查。困难职工生活救助金、坚守偏远地区、维护边疆稳定职工关爱等补助资金全部发放到位，共计发放金额</w:t>
      </w:r>
      <w:r>
        <w:rPr>
          <w:rFonts w:hint="eastAsia" w:ascii="Times New Roman" w:hAnsi="宋体" w:eastAsia="方正仿宋简体" w:cs="方正仿宋简体"/>
          <w:b w:val="0"/>
          <w:bCs w:val="0"/>
          <w:spacing w:val="8"/>
          <w:sz w:val="32"/>
          <w:szCs w:val="32"/>
          <w:shd w:val="clear" w:color="auto" w:fill="FFFFFF"/>
          <w:lang w:val="en-US" w:eastAsia="zh-CN"/>
        </w:rPr>
        <w:t>112.32</w:t>
      </w:r>
      <w:r>
        <w:rPr>
          <w:rFonts w:hint="eastAsia" w:ascii="Times New Roman" w:hAnsi="宋体" w:eastAsia="方正仿宋简体" w:cs="方正仿宋简体"/>
          <w:b w:val="0"/>
          <w:bCs w:val="0"/>
          <w:spacing w:val="8"/>
          <w:sz w:val="32"/>
          <w:szCs w:val="32"/>
          <w:shd w:val="clear" w:color="auto" w:fill="FFFFFF"/>
        </w:rPr>
        <w:t>万元</w:t>
      </w:r>
      <w:r>
        <w:rPr>
          <w:rFonts w:hint="eastAsia" w:ascii="Times New Roman" w:hAnsi="宋体" w:eastAsia="方正仿宋简体" w:cs="方正仿宋简体"/>
          <w:b w:val="0"/>
          <w:bCs w:val="0"/>
          <w:spacing w:val="8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Times New Roman" w:hAnsi="宋体" w:eastAsia="方正仿宋简体" w:cs="方正仿宋简体"/>
          <w:b w:val="0"/>
          <w:bCs w:val="0"/>
          <w:spacing w:val="8"/>
          <w:sz w:val="32"/>
          <w:szCs w:val="32"/>
          <w:shd w:val="clear" w:color="auto" w:fill="FFFFFF"/>
          <w:lang w:val="en-US" w:eastAsia="zh-CN"/>
        </w:rPr>
        <w:t>通过组宣费用支付71.43万元，组织开展职工文体活动，包括职工体育运动比赛，职工五小创新活动，劳动技能大赛</w:t>
      </w:r>
      <w:r>
        <w:rPr>
          <w:rFonts w:ascii="Times New Roman" w:hAnsi="方正仿宋简体" w:eastAsia="方正仿宋简体" w:cs="方正仿宋简体"/>
          <w:b w:val="0"/>
          <w:bCs w:val="0"/>
          <w:color w:val="auto"/>
          <w:spacing w:val="17"/>
          <w:sz w:val="32"/>
          <w:szCs w:val="32"/>
          <w:highlight w:val="none"/>
        </w:rPr>
        <w:t>通过综合分析影响绩效目标实现、实施效果的内外因素，评价绩效目标实现程度。通过对</w:t>
      </w:r>
      <w:r>
        <w:rPr>
          <w:rFonts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</w:rPr>
        <w:t>项目</w:t>
      </w:r>
      <w:r>
        <w:rPr>
          <w:rFonts w:ascii="Times New Roman" w:hAnsi="方正仿宋简体" w:eastAsia="方正仿宋简体" w:cs="方正仿宋简体"/>
          <w:b w:val="0"/>
          <w:bCs w:val="0"/>
          <w:color w:val="auto"/>
          <w:spacing w:val="17"/>
          <w:sz w:val="32"/>
          <w:szCs w:val="32"/>
          <w:highlight w:val="none"/>
        </w:rPr>
        <w:t>的开展情况、项目产出数量、成本控制、资金拨付文件及自评报告等相关资料的收集和审核，综合分析各因素对绩效目标实现的影响。</w:t>
      </w:r>
    </w:p>
    <w:p w14:paraId="616795F6">
      <w:pPr>
        <w:widowControl w:val="0"/>
        <w:spacing w:before="0" w:after="0" w:line="560" w:lineRule="exact"/>
        <w:ind w:firstLine="632" w:firstLineChars="200"/>
        <w:jc w:val="both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4.评价标准</w:t>
      </w:r>
    </w:p>
    <w:p w14:paraId="3E805B79">
      <w:pPr>
        <w:widowControl w:val="0"/>
        <w:spacing w:before="0" w:after="0" w:line="560" w:lineRule="exact"/>
        <w:ind w:firstLine="632" w:firstLineChars="200"/>
        <w:jc w:val="both"/>
        <w:outlineLvl w:val="9"/>
        <w:rPr>
          <w:rFonts w:hint="eastAsia" w:ascii="方正仿宋简体" w:hAnsi="方正仿宋简体" w:eastAsia="方正仿宋简体" w:cs="方正仿宋简体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绩效评价标准通常包括计划标准、行业标准、历史标准等，用于对绩效指标完成情况进行比较、分析、评价。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本次评价主要采用了计划标准，原因是根据年初制定的年度重点工作计划和绩效指标定额完成量，开展活动次数12次，打造阵地7个，采购办公用品5次，为体现绩交改进的原则，在可实现的条件下确定了相对较高的评价标准</w:t>
      </w:r>
    </w:p>
    <w:p w14:paraId="52ECD533">
      <w:pPr>
        <w:widowControl/>
        <w:numPr>
          <w:ilvl w:val="0"/>
          <w:numId w:val="2"/>
        </w:numPr>
        <w:spacing w:before="0" w:after="0" w:line="560" w:lineRule="exact"/>
        <w:ind w:firstLine="700" w:firstLineChars="200"/>
        <w:jc w:val="both"/>
        <w:outlineLvl w:val="0"/>
        <w:rPr>
          <w:rFonts w:hint="default" w:ascii="Times New Roman" w:hAnsi="Times New Roman" w:eastAsia="楷体" w:cs="Times New Roman"/>
          <w:b w:val="0"/>
          <w:bCs w:val="0"/>
          <w:color w:val="auto"/>
          <w:spacing w:val="17"/>
          <w:kern w:val="28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spacing w:val="17"/>
          <w:kern w:val="28"/>
          <w:sz w:val="32"/>
          <w:szCs w:val="32"/>
          <w:highlight w:val="none"/>
          <w:lang w:val="en-US" w:eastAsia="zh-CN" w:bidi="ar-SA"/>
        </w:rPr>
        <w:t>绩效评价工作过程</w:t>
      </w:r>
    </w:p>
    <w:p w14:paraId="3E6813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前期准备与规划</w:t>
      </w:r>
    </w:p>
    <w:p w14:paraId="00142A5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outlineLvl w:val="9"/>
        <w:rPr>
          <w:rFonts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</w:rPr>
        <w:t>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</w:p>
    <w:p w14:paraId="22D14E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指标体系构建</w:t>
      </w:r>
    </w:p>
    <w:p w14:paraId="6657E5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依据项目的性质、目标以及预期成果，构建了科学合理的绩效评价指标体系。该指标体系涵盖了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17"/>
          <w:sz w:val="32"/>
          <w:szCs w:val="32"/>
          <w:highlight w:val="none"/>
        </w:rPr>
        <w:t>项目决策、项目过程、项目产出、项目效益四个维度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，选取了具有代表性和可衡量性的关键指标，并为每个指标设定了明确的评价标准与权重，确保评价结果能够全面、准确地反映项目的绩效状况。</w:t>
      </w:r>
    </w:p>
    <w:p w14:paraId="594B7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数据收集与整理</w:t>
      </w:r>
    </w:p>
    <w:p w14:paraId="54F4B3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</w:p>
    <w:p w14:paraId="7232FD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4.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数据分析与评估</w:t>
      </w:r>
    </w:p>
    <w:p w14:paraId="050F60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</w:p>
    <w:p w14:paraId="25F5A0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5.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报告撰写与反馈</w:t>
      </w:r>
    </w:p>
    <w:p w14:paraId="099148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</w:p>
    <w:p w14:paraId="6CDA26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后续跟踪与改进</w:t>
      </w:r>
    </w:p>
    <w:p w14:paraId="21C842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4B8077E9">
      <w:pPr>
        <w:numPr>
          <w:ilvl w:val="0"/>
          <w:numId w:val="3"/>
        </w:numPr>
        <w:spacing w:line="560" w:lineRule="exact"/>
        <w:ind w:firstLine="632" w:firstLineChars="200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</w:rPr>
        <w:t>综合评价情况及评价结论（附相关评分表）</w:t>
      </w:r>
    </w:p>
    <w:p w14:paraId="48C496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32" w:firstLineChars="200"/>
        <w:jc w:val="both"/>
        <w:textAlignment w:val="auto"/>
        <w:outlineLvl w:val="0"/>
        <w:rPr>
          <w:rFonts w:hint="default" w:ascii="Times New Roman" w:hAnsi="Times New Roman" w:eastAsia="楷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（一）评价情况</w:t>
      </w:r>
    </w:p>
    <w:p w14:paraId="4F6CF40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本项目的综合评价基于对项目各方面绩效的深入分析与评估。从项目目标的达成情况来看，工会2024年实有资金收入项目着力维护职工群众劳动经济权益。</w:t>
      </w:r>
      <w:r>
        <w:rPr>
          <w:rFonts w:hint="eastAsia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霍尔果斯总工会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健全技术工人薪酬激励机制，促进企业内部分配进一步向一线职工、技术工人倾斜，助力实现共同富裕。同时也在</w:t>
      </w:r>
      <w:r>
        <w:rPr>
          <w:rFonts w:hint="eastAsia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工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人文化宫组织职工开展各类文体活动，打造阵地等</w:t>
      </w:r>
      <w:r>
        <w:rPr>
          <w:rFonts w:hint="eastAsia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方面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取得了显著的成效</w:t>
      </w:r>
      <w:r>
        <w:rPr>
          <w:rFonts w:hint="eastAsia" w:hAnsi="方正仿宋简体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。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在项目管理方面，霍尔果斯市总工会通过有效的规划、组织与协调，项目得以顺利实施，并在预算与时间上保持了良好的控制。从项目效益的角度来看，本项目不仅实现了预期的社会效益等方面产生了积极的影响。具体而言，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开展职工文体活动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打造阵地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等方面的提升，为项目的利益相关者带来了实实在在的利益。</w:t>
      </w:r>
    </w:p>
    <w:p w14:paraId="379DB2E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综上所述，工会2024年实有资金收入项目在绩效评价中表现出色，达到了项目的预期目标，并在多个方面取得了显著的成效。</w:t>
      </w:r>
    </w:p>
    <w:p w14:paraId="117285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32" w:firstLineChars="200"/>
        <w:jc w:val="both"/>
        <w:textAlignment w:val="auto"/>
        <w:outlineLvl w:val="0"/>
        <w:rPr>
          <w:rFonts w:hint="default" w:ascii="Times New Roman" w:hAnsi="Times New Roman" w:eastAsia="楷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（二）评价结论</w:t>
      </w:r>
    </w:p>
    <w:p w14:paraId="7B03A4EC">
      <w:pPr>
        <w:widowControl w:val="0"/>
        <w:spacing w:before="0" w:after="0" w:line="560" w:lineRule="exact"/>
        <w:ind w:firstLine="632" w:firstLineChars="200"/>
        <w:jc w:val="both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</w:t>
      </w:r>
      <w:r>
        <w:rPr>
          <w:rFonts w:hint="eastAsia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95.31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分，属于“</w:t>
      </w:r>
      <w:r>
        <w:rPr>
          <w:rFonts w:hint="eastAsia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优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 xml:space="preserve">”。其中，项目决策类指标权重为20分，得分为 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20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分，得分率为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100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%。项目过程类指标权重为20分，得分为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18.76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 xml:space="preserve">分，得分率为 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93.8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%。项目产出类指标权重为40分，得分为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36.55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分，得分率为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91.37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%。项目效益类指标权重为20分，得分为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20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分，得分率为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100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%。具体打分情况详见：附件1综合评分表。</w:t>
      </w:r>
    </w:p>
    <w:p w14:paraId="7A6E69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jc w:val="center"/>
        <w:textAlignment w:val="auto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21"/>
          <w:szCs w:val="21"/>
          <w:highlight w:val="none"/>
          <w:lang w:val="en-US" w:eastAsia="zh-CN" w:bidi="ar-SA"/>
        </w:rPr>
      </w:pPr>
    </w:p>
    <w:p w14:paraId="3C9D41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jc w:val="center"/>
        <w:textAlignment w:val="auto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8"/>
          <w:sz w:val="21"/>
          <w:szCs w:val="21"/>
          <w:highlight w:val="none"/>
          <w:lang w:val="en-US" w:eastAsia="zh-CN" w:bidi="ar-SA"/>
        </w:rPr>
        <w:t>表1综合评分表</w:t>
      </w:r>
    </w:p>
    <w:tbl>
      <w:tblPr>
        <w:tblStyle w:val="14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597823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7F109035">
            <w:pPr>
              <w:spacing w:line="560" w:lineRule="exact"/>
              <w:jc w:val="center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065D607F">
            <w:pPr>
              <w:spacing w:line="560" w:lineRule="exact"/>
              <w:jc w:val="center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7525B6C1">
            <w:pPr>
              <w:spacing w:line="560" w:lineRule="exact"/>
              <w:jc w:val="center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得分</w:t>
            </w:r>
          </w:p>
        </w:tc>
      </w:tr>
      <w:tr w14:paraId="0F2751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1A6119">
            <w:pPr>
              <w:spacing w:line="560" w:lineRule="exact"/>
              <w:jc w:val="center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21E32">
            <w:pPr>
              <w:spacing w:line="560" w:lineRule="exact"/>
              <w:jc w:val="center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C45E0">
            <w:pPr>
              <w:spacing w:line="560" w:lineRule="exact"/>
              <w:jc w:val="center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方正仿宋简体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20</w:t>
            </w:r>
          </w:p>
        </w:tc>
      </w:tr>
      <w:tr w14:paraId="218F6D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29B8B">
            <w:pPr>
              <w:spacing w:line="560" w:lineRule="exact"/>
              <w:jc w:val="center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DF7D8">
            <w:pPr>
              <w:spacing w:line="560" w:lineRule="exact"/>
              <w:jc w:val="center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30F06C">
            <w:pPr>
              <w:spacing w:line="560" w:lineRule="exact"/>
              <w:jc w:val="center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方正仿宋简体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18.76</w:t>
            </w:r>
          </w:p>
        </w:tc>
      </w:tr>
      <w:tr w14:paraId="7507DD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D37B0D">
            <w:pPr>
              <w:spacing w:line="560" w:lineRule="exact"/>
              <w:jc w:val="center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4DC36">
            <w:pPr>
              <w:spacing w:line="560" w:lineRule="exact"/>
              <w:jc w:val="center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D6242">
            <w:pPr>
              <w:spacing w:line="560" w:lineRule="exact"/>
              <w:jc w:val="center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方正仿宋简体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36.55</w:t>
            </w:r>
          </w:p>
        </w:tc>
      </w:tr>
      <w:tr w14:paraId="18FA7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251BC0">
            <w:pPr>
              <w:spacing w:line="560" w:lineRule="exact"/>
              <w:jc w:val="center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80F9DC">
            <w:pPr>
              <w:spacing w:line="560" w:lineRule="exact"/>
              <w:jc w:val="center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58BED7">
            <w:pPr>
              <w:spacing w:line="560" w:lineRule="exact"/>
              <w:jc w:val="center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方正仿宋简体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</w:tr>
      <w:tr w14:paraId="0580DB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F43ADB">
            <w:pPr>
              <w:spacing w:line="560" w:lineRule="exact"/>
              <w:jc w:val="center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D273A6">
            <w:pPr>
              <w:spacing w:line="560" w:lineRule="exact"/>
              <w:jc w:val="center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93DFDA">
            <w:pPr>
              <w:spacing w:line="560" w:lineRule="exact"/>
              <w:jc w:val="center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方正仿宋简体" w:eastAsia="方正仿宋简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95.31</w:t>
            </w:r>
          </w:p>
        </w:tc>
      </w:tr>
    </w:tbl>
    <w:p w14:paraId="5FCBA196">
      <w:pPr>
        <w:spacing w:line="560" w:lineRule="exact"/>
        <w:ind w:firstLine="632" w:firstLineChars="200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</w:rPr>
        <w:t>四、绩效评价指标分析</w:t>
      </w:r>
    </w:p>
    <w:p w14:paraId="0F53C015">
      <w:pPr>
        <w:widowControl/>
        <w:spacing w:before="0" w:after="0" w:line="560" w:lineRule="exact"/>
        <w:ind w:firstLine="632" w:firstLineChars="200"/>
        <w:jc w:val="both"/>
        <w:outlineLvl w:val="0"/>
        <w:rPr>
          <w:rFonts w:hint="default" w:ascii="Times New Roman" w:hAnsi="Times New Roman" w:eastAsia="楷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（一）项目决策情况</w:t>
      </w:r>
    </w:p>
    <w:p w14:paraId="591E3674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项目决策类指标包括项目立项、绩效目标和资金投入三方面的内容，由6个三级指标构成，权重分值为20分，实际得分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%。</w:t>
      </w:r>
    </w:p>
    <w:p w14:paraId="1CD6E39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 w:bidi="ar-SA"/>
        </w:rPr>
        <w:t>1.项目立项</w:t>
      </w:r>
    </w:p>
    <w:p w14:paraId="2F39BB2D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（1）立项依据充分性</w:t>
      </w:r>
    </w:p>
    <w:p w14:paraId="7DCC1C41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75AD0683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（2）立项程序规范性</w:t>
      </w:r>
    </w:p>
    <w:p w14:paraId="226FC495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项目申请、设立过程符合相关要求，严格按照审批流程准备符合要求的文件、材料；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根据决算依据编制工作计划和经费预算，经过与部门项目分管领导沟通、筛选确定经费预算计划，确定最终预算方案。项目的审批文件、材料符合相关要求，项目事前经过必要的</w:t>
      </w: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  <w:lang w:val="en-US" w:eastAsia="zh-CN"/>
        </w:rPr>
        <w:t>绩效评估、集体决策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，保障了程序的规范性。</w:t>
      </w:r>
    </w:p>
    <w:p w14:paraId="3ED1097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 w:bidi="ar-SA"/>
        </w:rPr>
        <w:t>2.绩效目标</w:t>
      </w:r>
    </w:p>
    <w:p w14:paraId="08CE2C0D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（1）绩效目标合理性</w:t>
      </w:r>
    </w:p>
    <w:p w14:paraId="54AC6AB0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/>
        </w:rPr>
        <w:t>年初结合实际工作内容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设定绩效目标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/>
        </w:rPr>
        <w:t>，绩效目标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4DC1C80A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（2）绩效指标明确性</w:t>
      </w:r>
    </w:p>
    <w:p w14:paraId="1BFE5584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0406F13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 w:bidi="ar-SA"/>
        </w:rPr>
        <w:t>3.资金投入</w:t>
      </w:r>
    </w:p>
    <w:p w14:paraId="4A9273FE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（1）预算编制科学性</w:t>
      </w:r>
    </w:p>
    <w:p w14:paraId="085047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</w:p>
    <w:p w14:paraId="2110E507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在预算编制过程中，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还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</w:p>
    <w:p w14:paraId="70CDDB24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（2）资金分配合理性</w:t>
      </w:r>
    </w:p>
    <w:p w14:paraId="4E6487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</w:p>
    <w:p w14:paraId="0CA2BB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</w:p>
    <w:p w14:paraId="179CC4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</w:p>
    <w:p w14:paraId="2A3FEC29">
      <w:pPr>
        <w:widowControl/>
        <w:numPr>
          <w:ilvl w:val="0"/>
          <w:numId w:val="4"/>
        </w:numPr>
        <w:spacing w:before="0" w:after="0" w:line="560" w:lineRule="exact"/>
        <w:ind w:left="-2" w:leftChars="0" w:firstLine="632" w:firstLineChars="0"/>
        <w:jc w:val="both"/>
        <w:outlineLvl w:val="0"/>
        <w:rPr>
          <w:rFonts w:hint="default" w:ascii="Times New Roman" w:hAnsi="Times New Roman" w:eastAsia="楷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项目过程情况</w:t>
      </w:r>
    </w:p>
    <w:p w14:paraId="03095E31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项目过程类指标包括资金管理和组织实施两方面的内容，由5个三级指标构成，权重分值为20分，实际得分</w:t>
      </w:r>
      <w:r>
        <w:rPr>
          <w:rFonts w:hint="eastAsia" w:hAnsi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18.76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93.</w:t>
      </w:r>
      <w:r>
        <w:rPr>
          <w:rFonts w:hint="eastAsia" w:hAnsi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%。</w:t>
      </w:r>
    </w:p>
    <w:p w14:paraId="3ED6994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 w:bidi="ar-SA"/>
        </w:rPr>
        <w:t>1.资金管理</w:t>
      </w:r>
    </w:p>
    <w:p w14:paraId="2FC5060C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（1）资金到位率</w:t>
      </w:r>
    </w:p>
    <w:p w14:paraId="7A87AAD8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本项目总投资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275.58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万元，财政资金及时足额到位，到位率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%，预算资金按计划进度执行。</w:t>
      </w:r>
    </w:p>
    <w:p w14:paraId="22A88D3E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（2）预算执行率</w:t>
      </w:r>
    </w:p>
    <w:p w14:paraId="2D83440C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预算编制较为详细，项目资金支出总体能够按照预算执行，预算资金支出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189.57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68.88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%。</w:t>
      </w:r>
    </w:p>
    <w:p w14:paraId="5A0541ED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（3）资金使用合规性</w:t>
      </w:r>
    </w:p>
    <w:p w14:paraId="4B164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本项目的资金使用严格遵循了国家相关法律法规与财务制度，确保了资金的合规性与安全性。在资金使用过程中，我们建立了完善的财务管理体系，对资金的流动进行了全程监控与记录。</w:t>
      </w:r>
    </w:p>
    <w:p w14:paraId="55ADEB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</w:p>
    <w:p w14:paraId="0B1B70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</w:p>
    <w:p w14:paraId="3ECE136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 w:bidi="ar-SA"/>
        </w:rPr>
        <w:t>2.组织实施</w:t>
      </w:r>
    </w:p>
    <w:p w14:paraId="0D08FDDA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（1）管理制度健全性</w:t>
      </w:r>
    </w:p>
    <w:p w14:paraId="6B095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</w:p>
    <w:p w14:paraId="35E057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在制度设计上，我们注重了制度的科学性与可操作性，确保制度能够切实指导项目的执行与管理。</w:t>
      </w:r>
    </w:p>
    <w:p w14:paraId="36CE2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</w:p>
    <w:p w14:paraId="0DCFB2A1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</w:p>
    <w:p w14:paraId="5E567C8E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（2）制度执行有效性</w:t>
      </w:r>
    </w:p>
    <w:p w14:paraId="62958D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本项目在执行过程中，管理制度得到了全面、有效的落实，为确保项目的顺利实施与目标实现提供了坚实的保障。项目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单位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重视制度执行的重要性，通过明确责任分工、制定详细执行计划、加强监督考核等措施，确保了各项管理制度能够得到有效执行。</w:t>
      </w:r>
    </w:p>
    <w:p w14:paraId="478393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</w:p>
    <w:p w14:paraId="673C4E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综上所述，本项目的管理制度在执行过程中表现出了高度的有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4"/>
          <w:sz w:val="32"/>
          <w:szCs w:val="32"/>
          <w:highlight w:val="none"/>
          <w:lang w:eastAsia="zh-CN"/>
        </w:rPr>
        <w:t>效性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6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4"/>
          <w:sz w:val="32"/>
          <w:szCs w:val="32"/>
          <w:highlight w:val="none"/>
          <w:lang w:eastAsia="zh-CN"/>
        </w:rPr>
        <w:t>既确保了项目的顺利进行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6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4"/>
          <w:sz w:val="32"/>
          <w:szCs w:val="32"/>
          <w:highlight w:val="none"/>
          <w:lang w:eastAsia="zh-CN"/>
        </w:rPr>
        <w:t>又实现了项目目标的有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-2"/>
          <w:sz w:val="32"/>
          <w:szCs w:val="32"/>
          <w:highlight w:val="none"/>
          <w:lang w:eastAsia="zh-CN"/>
        </w:rPr>
        <w:t>效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达成。</w:t>
      </w:r>
    </w:p>
    <w:p w14:paraId="03081DB5">
      <w:pPr>
        <w:widowControl w:val="0"/>
        <w:numPr>
          <w:ilvl w:val="0"/>
          <w:numId w:val="4"/>
        </w:numPr>
        <w:spacing w:after="0" w:line="560" w:lineRule="exact"/>
        <w:ind w:left="-2" w:leftChars="0" w:firstLine="632" w:firstLineChars="0"/>
        <w:jc w:val="both"/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项目产出情况</w:t>
      </w:r>
    </w:p>
    <w:p w14:paraId="65FFFC41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项目产出类指标包括产出数量、产出质量、产出时效、产出成本四方面的内容，由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个三级指标构成，权重分为40分，实际得分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36.55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91.3</w:t>
      </w:r>
      <w:r>
        <w:rPr>
          <w:rFonts w:hint="eastAsia" w:hAnsi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%。具体产出指标完成情况如下：</w:t>
      </w:r>
    </w:p>
    <w:p w14:paraId="2B41B7F4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instrText xml:space="preserve"> = 1 \* GB3 </w:instrTex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①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数量指标：</w:t>
      </w:r>
    </w:p>
    <w:p w14:paraId="0E6D1103">
      <w:pPr>
        <w:shd w:val="clear" w:color="auto" w:fill="auto"/>
        <w:spacing w:line="560" w:lineRule="exact"/>
        <w:ind w:firstLine="632" w:firstLineChars="200"/>
        <w:outlineLvl w:val="0"/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 xml:space="preserve">指标1：开展活动次数，指标值：&gt;=12次，实际完成值： 12次 ，指标完成率 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%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 w14:paraId="354E1FDD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Times New Roman" w:eastAsia="宋体"/>
          <w:color w:val="auto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指标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：打造阵地个数，指标值：&gt;=7个 ，实际完成值：7个 ，指标完成率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</w:p>
    <w:p w14:paraId="41930668">
      <w:pPr>
        <w:widowControl/>
        <w:spacing w:before="240" w:after="60" w:line="560" w:lineRule="exact"/>
        <w:jc w:val="both"/>
        <w:outlineLvl w:val="0"/>
        <w:rPr>
          <w:rFonts w:hint="default" w:ascii="Times New Roman" w:hAnsi="方正仿宋简体" w:eastAsia="方正仿宋简体" w:cs="方正仿宋简体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Times New Roman" w:hAnsi="Calibri Light" w:eastAsia="宋体" w:cs="Times New Roman"/>
          <w:b/>
          <w:bCs/>
          <w:color w:val="auto"/>
          <w:kern w:val="28"/>
          <w:sz w:val="32"/>
          <w:szCs w:val="32"/>
          <w:highlight w:val="none"/>
          <w:lang w:val="en-US" w:eastAsia="zh-CN" w:bidi="ar-SA"/>
        </w:rPr>
        <w:t xml:space="preserve">  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  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指标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：采购办公用品批次，指标值：&gt;=5次 ，实际完成值：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5次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，指标完成率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100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%，</w:t>
      </w:r>
      <w:r>
        <w:rPr>
          <w:rFonts w:hint="eastAsia" w:ascii="Times New Roman" w:hAnsi="Calibri Light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 </w:t>
      </w:r>
    </w:p>
    <w:p w14:paraId="160C233B">
      <w:pPr>
        <w:spacing w:line="560" w:lineRule="exact"/>
        <w:ind w:firstLine="632" w:firstLineChars="200"/>
        <w:rPr>
          <w:rFonts w:hint="eastAsia" w:ascii="Times New Roman" w:hAnsi="方正仿宋简体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instrText xml:space="preserve"> = 2 \* GB3 </w:instrTex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②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质量指标：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</w:t>
      </w:r>
    </w:p>
    <w:p w14:paraId="26A620DF">
      <w:pPr>
        <w:spacing w:line="560" w:lineRule="exact"/>
        <w:ind w:firstLine="632" w:firstLineChars="200"/>
        <w:rPr>
          <w:rFonts w:hint="eastAsia" w:ascii="Times New Roman" w:hAnsi="方正仿宋简体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指标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：阵地打造验收合格，指标值：=100% ，实际完成值：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100%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，指标完成率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100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%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。</w:t>
      </w:r>
    </w:p>
    <w:p w14:paraId="083B14F6">
      <w:pPr>
        <w:widowControl/>
        <w:spacing w:before="240" w:after="60" w:line="560" w:lineRule="exact"/>
        <w:jc w:val="both"/>
        <w:outlineLvl w:val="0"/>
        <w:rPr>
          <w:rFonts w:hint="default" w:ascii="Times New Roman" w:hAnsi="Calibri Light" w:eastAsia="宋体" w:cs="Times New Roman"/>
          <w:b/>
          <w:bCs/>
          <w:color w:val="auto"/>
          <w:kern w:val="28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Calibri Light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    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指标</w:t>
      </w:r>
      <w:r>
        <w:rPr>
          <w:rFonts w:hint="eastAsia" w:ascii="Times New Roman" w:hAnsi="Calibri Light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：政府采购率，指标值：=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100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% ，实际完成值：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100%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，指标完成率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100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%</w:t>
      </w:r>
      <w:r>
        <w:rPr>
          <w:rFonts w:hint="eastAsia" w:ascii="Times New Roman" w:hAnsi="Calibri Light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。</w:t>
      </w:r>
    </w:p>
    <w:p w14:paraId="0505756F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指标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：采购办公用品质量合格率，指标值：=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100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% ，实际完成值：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100%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，指标完成率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100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%</w:t>
      </w:r>
    </w:p>
    <w:p w14:paraId="3BE1000A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/>
        </w:rPr>
      </w:pP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指标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4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：活动出勤率，指标值：&gt;=98% ，实际完成值：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99.83%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，指标完成率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101.87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%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，偏差原因：职工参与活动的积极性远超预期</w:t>
      </w:r>
      <w:r>
        <w:rPr>
          <w:rFonts w:hint="eastAsia" w:hAnsi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。</w:t>
      </w:r>
    </w:p>
    <w:p w14:paraId="76A48B65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instrText xml:space="preserve"> = 3 \* GB3 </w:instrTex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③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时效指标：</w:t>
      </w:r>
    </w:p>
    <w:p w14:paraId="52DE79DF">
      <w:pPr>
        <w:shd w:val="clear" w:color="auto" w:fill="auto"/>
        <w:spacing w:line="560" w:lineRule="exact"/>
        <w:ind w:firstLine="632" w:firstLineChars="200"/>
        <w:outlineLvl w:val="0"/>
        <w:rPr>
          <w:rFonts w:hint="eastAsia" w:ascii="Times New Roman" w:hAnsi="方正仿宋简体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指标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：活动完成及时率，指标值：=100% ，实际完成值：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100%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，指标完成率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100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%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。</w:t>
      </w:r>
    </w:p>
    <w:p w14:paraId="7F191018">
      <w:pPr>
        <w:bidi w:val="0"/>
        <w:ind w:firstLine="632" w:firstLineChars="200"/>
        <w:rPr>
          <w:rFonts w:hint="default" w:ascii="Times New Roman" w:hAnsi="方正仿宋简体" w:eastAsia="方正仿宋简体" w:cs="方正仿宋简体"/>
          <w:b w:val="0"/>
          <w:bCs w:val="0"/>
          <w:lang w:val="en-US" w:eastAsia="zh-CN"/>
        </w:rPr>
      </w:pPr>
      <w:r>
        <w:rPr>
          <w:rFonts w:hint="eastAsia" w:ascii="Times New Roman" w:hAnsi="方正仿宋简体" w:eastAsia="方正仿宋简体" w:cs="方正仿宋简体"/>
          <w:b w:val="0"/>
          <w:bCs w:val="0"/>
          <w:lang w:val="en-US" w:eastAsia="zh-CN"/>
        </w:rPr>
        <w:t>④</w:t>
      </w:r>
      <w:r>
        <w:rPr>
          <w:rFonts w:hint="default" w:ascii="Times New Roman" w:hAnsi="方正仿宋简体" w:eastAsia="方正仿宋简体" w:cs="方正仿宋简体"/>
          <w:b w:val="0"/>
          <w:bCs w:val="0"/>
          <w:lang w:val="en-US" w:eastAsia="zh-CN"/>
        </w:rPr>
        <w:t>经济效益指标：</w:t>
      </w:r>
    </w:p>
    <w:p w14:paraId="1B0DF76E">
      <w:pPr>
        <w:shd w:val="clear" w:color="auto" w:fill="auto"/>
        <w:spacing w:line="560" w:lineRule="exact"/>
        <w:ind w:firstLine="632" w:firstLineChars="200"/>
        <w:outlineLvl w:val="0"/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指标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：维权支出费用，指标值：&lt;=147.35万元 ，实际完成值：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112.32万元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，指标完成率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76.22%，偏差原因：原因实际维权活动支出费用少于预算金额;改进措施：在今后的预算编制工作中做到更加精准</w:t>
      </w:r>
    </w:p>
    <w:p w14:paraId="2F751E7B">
      <w:pPr>
        <w:shd w:val="clear" w:color="auto" w:fill="auto"/>
        <w:spacing w:line="560" w:lineRule="exact"/>
        <w:ind w:firstLine="632" w:firstLineChars="200"/>
        <w:outlineLvl w:val="0"/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指标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：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办公采购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费用，指标值&lt;=9.78万元 ，实际完成值：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5.82万元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，指标完成率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59.51%，偏差原因：原因实际办公活动支出费用少于预算金额;改进措施：在今后的预算编制工作中做到更加精准</w:t>
      </w:r>
    </w:p>
    <w:p w14:paraId="11201702">
      <w:pPr>
        <w:shd w:val="clear" w:color="auto" w:fill="auto"/>
        <w:spacing w:line="560" w:lineRule="exact"/>
        <w:ind w:firstLine="632" w:firstLineChars="200"/>
        <w:outlineLvl w:val="0"/>
        <w:rPr>
          <w:rFonts w:hint="eastAsia" w:ascii="Times New Roman" w:hAnsi="Calibri Light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指标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：组宣支出费用，指标值&lt;=118.1万元 ，实际完成值：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71.43万元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，指标完成率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60.48%，偏差原因：实际组宣支出费用少于预算金额;改进措施：在今后的预算编制工作中做到更加精准</w:t>
      </w:r>
    </w:p>
    <w:p w14:paraId="30710874">
      <w:pPr>
        <w:widowControl w:val="0"/>
        <w:numPr>
          <w:ilvl w:val="0"/>
          <w:numId w:val="4"/>
        </w:numPr>
        <w:spacing w:after="0" w:line="560" w:lineRule="exact"/>
        <w:ind w:left="-2" w:leftChars="0" w:firstLine="632" w:firstLineChars="0"/>
        <w:jc w:val="both"/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项目效益情况</w:t>
      </w:r>
    </w:p>
    <w:p w14:paraId="300FF674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项目效益类指标包括项目实施效益和满意度两方面的内容，由</w:t>
      </w:r>
      <w:r>
        <w:rPr>
          <w:rFonts w:hint="eastAsia" w:hAnsi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个三级指标构成，权重分为20分，实际得分</w:t>
      </w:r>
      <w:r>
        <w:rPr>
          <w:rFonts w:hint="default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20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分，得分率为</w:t>
      </w:r>
      <w:r>
        <w:rPr>
          <w:rFonts w:hint="default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100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%。具体效益指标及满意度指标完成情况如下：</w:t>
      </w:r>
    </w:p>
    <w:p w14:paraId="60E58100">
      <w:pPr>
        <w:numPr>
          <w:ilvl w:val="0"/>
          <w:numId w:val="5"/>
        </w:num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方正仿宋简体" w:eastAsia="方正仿宋简体" w:cs="方正仿宋简体"/>
          <w:b w:val="0"/>
          <w:bCs w:val="0"/>
          <w:color w:val="auto"/>
          <w:highlight w:val="none"/>
          <w:lang w:val="en-US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实施效益</w:t>
      </w:r>
    </w:p>
    <w:p w14:paraId="7D8F12B7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①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社会效益指标：</w:t>
      </w:r>
    </w:p>
    <w:p w14:paraId="352358F3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指标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：提高霍尔果斯市职工幸福感，指标值：有效提高 ，实际完成值：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有所提高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，指标完成率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100%。</w:t>
      </w:r>
    </w:p>
    <w:p w14:paraId="2305C4BA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2.满意度</w:t>
      </w:r>
    </w:p>
    <w:p w14:paraId="74D4B4C2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指标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：受益人员满意度，指标值：&gt;=98% ，实际完成值：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97.98%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，指标完成率</w:t>
      </w:r>
      <w:r>
        <w:rPr>
          <w:rFonts w:hint="eastAsia" w:ascii="Times New Roman" w:hAnsi="方正仿宋简体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99.98%，偏差原因：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原因在开展职工活动时服务意识不够高;改进措施：在今后的今后的职工活动中加强服务意识，提高活动满意程度</w:t>
      </w:r>
    </w:p>
    <w:p w14:paraId="1F6B720B">
      <w:pPr>
        <w:shd w:val="clear" w:color="auto" w:fill="auto"/>
        <w:spacing w:line="560" w:lineRule="exact"/>
        <w:ind w:firstLine="632" w:firstLineChars="200"/>
        <w:outlineLvl w:val="0"/>
        <w:rPr>
          <w:rFonts w:hint="eastAsia" w:ascii="Times New Roman" w:hAnsi="黑体" w:eastAsia="黑体" w:cs="黑体"/>
          <w:b w:val="0"/>
          <w:bCs w:val="0"/>
          <w:color w:val="auto"/>
          <w:sz w:val="32"/>
          <w:szCs w:val="32"/>
          <w:highlight w:val="none"/>
          <w:lang w:val="en-US"/>
        </w:rPr>
      </w:pPr>
      <w:r>
        <w:rPr>
          <w:rFonts w:hint="eastAsia" w:ascii="Times New Roman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五、</w:t>
      </w:r>
      <w:r>
        <w:rPr>
          <w:rFonts w:hint="eastAsia" w:ascii="Times New Roman" w:hAnsi="黑体" w:eastAsia="黑体" w:cs="黑体"/>
          <w:b w:val="0"/>
          <w:bCs w:val="0"/>
          <w:color w:val="auto"/>
          <w:sz w:val="32"/>
          <w:szCs w:val="32"/>
          <w:highlight w:val="none"/>
          <w:lang w:val="en-US"/>
        </w:rPr>
        <w:t>预算执行进度与绩效指标总体完成率偏差</w:t>
      </w:r>
    </w:p>
    <w:p w14:paraId="032F6152">
      <w:pPr>
        <w:widowControl w:val="0"/>
        <w:spacing w:line="560" w:lineRule="exact"/>
        <w:ind w:firstLine="640"/>
        <w:jc w:val="both"/>
        <w:rPr>
          <w:rFonts w:hint="eastAsia" w:ascii="Times New Roman" w:hAnsi="方正仿宋简体" w:eastAsia="方正仿宋简体" w:cs="方正仿宋简体"/>
          <w:b w:val="0"/>
          <w:bCs w:val="0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kern w:val="0"/>
          <w:sz w:val="32"/>
          <w:szCs w:val="32"/>
          <w:highlight w:val="none"/>
          <w:lang w:val="en-US" w:eastAsia="zh-CN" w:bidi="ar-SA"/>
        </w:rPr>
        <w:t>工会2024年实有资金收入项目年初预算275.33万元，全年预算275.33万元，实际支出189.57万元，</w:t>
      </w: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预算执行率为68.88%</w:t>
      </w: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kern w:val="0"/>
          <w:sz w:val="32"/>
          <w:szCs w:val="32"/>
          <w:highlight w:val="none"/>
          <w:lang w:val="en-US" w:eastAsia="zh-CN" w:bidi="ar-SA"/>
        </w:rPr>
        <w:t>，项目绩效指标总体完成率为92.17%，</w:t>
      </w: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kern w:val="0"/>
          <w:sz w:val="32"/>
          <w:szCs w:val="32"/>
          <w:highlight w:val="none"/>
          <w:lang w:val="en-US" w:bidi="ar-SA"/>
        </w:rPr>
        <w:t>总体</w:t>
      </w: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kern w:val="0"/>
          <w:sz w:val="32"/>
          <w:szCs w:val="32"/>
          <w:highlight w:val="none"/>
          <w:lang w:val="en-US" w:eastAsia="zh-CN" w:bidi="ar-SA"/>
        </w:rPr>
        <w:t>偏差率为23.29%，</w:t>
      </w: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kern w:val="0"/>
          <w:sz w:val="32"/>
          <w:szCs w:val="32"/>
          <w:highlight w:val="none"/>
          <w:lang w:val="en-US" w:bidi="ar-SA"/>
        </w:rPr>
        <w:t>偏差</w:t>
      </w: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kern w:val="0"/>
          <w:sz w:val="32"/>
          <w:szCs w:val="32"/>
          <w:highlight w:val="none"/>
          <w:lang w:val="en-US" w:eastAsia="zh-CN" w:bidi="ar-SA"/>
        </w:rPr>
        <w:t>原因：实际维权活动支出费用少于预算金额,实际组宣支出费用少于预算金额,实际办公活动支出费用少于预算金额，</w:t>
      </w: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kern w:val="0"/>
          <w:sz w:val="32"/>
          <w:szCs w:val="32"/>
          <w:highlight w:val="none"/>
          <w:lang w:val="en-US" w:bidi="ar-SA"/>
        </w:rPr>
        <w:t>改进</w:t>
      </w: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kern w:val="0"/>
          <w:sz w:val="32"/>
          <w:szCs w:val="32"/>
          <w:highlight w:val="none"/>
          <w:lang w:val="en-US" w:eastAsia="zh-CN" w:bidi="ar-SA"/>
        </w:rPr>
        <w:t>措施:今后的预算编制工作中做到更加精准。</w:t>
      </w:r>
    </w:p>
    <w:p w14:paraId="3D047797">
      <w:pPr>
        <w:spacing w:line="560" w:lineRule="exact"/>
        <w:ind w:firstLine="632" w:firstLineChars="200"/>
        <w:rPr>
          <w:rFonts w:hint="default" w:ascii="Times New Roman" w:hAnsi="Times New Roman" w:eastAsia="方正仿宋简体" w:cs="Times New Roman"/>
          <w:b w:val="0"/>
          <w:bCs w:val="0"/>
          <w:color w:val="auto"/>
          <w:highlight w:val="none"/>
        </w:rPr>
      </w:pPr>
      <w:r>
        <w:rPr>
          <w:rFonts w:hint="eastAsia" w:asci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六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</w:rPr>
        <w:t>主要经验及做法、存在的问题及原因分析</w:t>
      </w:r>
    </w:p>
    <w:p w14:paraId="51D4FC2C">
      <w:pPr>
        <w:spacing w:line="560" w:lineRule="exact"/>
        <w:ind w:firstLine="616" w:firstLineChars="200"/>
        <w:rPr>
          <w:rFonts w:hint="default" w:ascii="Times New Roman" w:hAnsi="Times New Roman" w:eastAsia="楷体" w:cs="Times New Roman"/>
          <w:b w:val="0"/>
          <w:bCs w:val="0"/>
          <w:color w:val="auto"/>
          <w:spacing w:val="-4"/>
          <w:sz w:val="32"/>
          <w:szCs w:val="32"/>
          <w:highlight w:val="none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spacing w:val="-4"/>
          <w:sz w:val="32"/>
          <w:szCs w:val="32"/>
          <w:highlight w:val="none"/>
        </w:rPr>
        <w:t>（一）主要经验及做法</w:t>
      </w:r>
    </w:p>
    <w:p w14:paraId="61D87EC8">
      <w:pPr>
        <w:spacing w:line="560" w:lineRule="exact"/>
        <w:ind w:firstLine="632" w:firstLineChars="200"/>
        <w:rPr>
          <w:rFonts w:hint="eastAsia"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</w:rPr>
        <w:t>为确保工会2024年实有资金收入项目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6FC9ED23">
      <w:pPr>
        <w:widowControl/>
        <w:spacing w:before="0" w:after="0" w:line="560" w:lineRule="exact"/>
        <w:ind w:firstLine="632" w:firstLineChars="200"/>
        <w:jc w:val="left"/>
        <w:outlineLvl w:val="0"/>
        <w:rPr>
          <w:rFonts w:hint="eastAsia" w:ascii="Times New Roman" w:hAnsi="方正仿宋简体" w:eastAsia="方正仿宋简体" w:cs="方正仿宋简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严格坚持先做事、后验收、再拨付的原则，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0CE22AFB">
      <w:pPr>
        <w:keepNext/>
        <w:keepLines/>
        <w:numPr>
          <w:ilvl w:val="0"/>
          <w:numId w:val="6"/>
        </w:numPr>
        <w:spacing w:line="560" w:lineRule="exact"/>
        <w:ind w:firstLine="632" w:firstLineChars="200"/>
        <w:rPr>
          <w:rFonts w:hint="default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</w:rPr>
        <w:t>存在的问题及原因分析</w:t>
      </w:r>
    </w:p>
    <w:p w14:paraId="5191109F">
      <w:pPr>
        <w:shd w:val="clear" w:color="auto" w:fill="auto"/>
        <w:spacing w:line="560" w:lineRule="exact"/>
        <w:ind w:firstLine="632" w:firstLineChars="200"/>
        <w:outlineLvl w:val="0"/>
        <w:rPr>
          <w:rFonts w:hint="eastAsia"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  <w:lang w:val="en-US" w:eastAsia="zh-CN"/>
        </w:rPr>
        <w:t>1.相关绩效管理方面专业知识的系统性学习有待加强。各项指标的设置要进一步优化、完善，主要在细化、量化上改进。在绩效自评过程中，由干部分人员缺乏相关绩效管理专业知识，自评价工作还存在自我审定的局限性，影响评价质量。</w:t>
      </w:r>
    </w:p>
    <w:p w14:paraId="01A126B6">
      <w:pPr>
        <w:shd w:val="clear" w:color="auto" w:fill="auto"/>
        <w:spacing w:line="560" w:lineRule="exact"/>
        <w:ind w:firstLine="632" w:firstLineChars="200"/>
        <w:outlineLvl w:val="0"/>
        <w:rPr>
          <w:rFonts w:hint="eastAsia"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  <w:lang w:val="en-US" w:eastAsia="zh-CN"/>
        </w:rPr>
        <w:t>2.因轮岗、调动等因素使我单位绩效工作人员流动频繁，造成工作衔接不到位的情况。</w:t>
      </w:r>
    </w:p>
    <w:p w14:paraId="0400A1FE">
      <w:pPr>
        <w:shd w:val="clear" w:color="auto" w:fill="auto"/>
        <w:spacing w:line="560" w:lineRule="exact"/>
        <w:ind w:firstLine="632" w:firstLineChars="200"/>
        <w:outlineLvl w:val="0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  <w:lang w:val="en-US" w:eastAsia="zh-CN"/>
        </w:rPr>
        <w:t>预算编制工作不够精准，</w:t>
      </w:r>
      <w:r>
        <w:rPr>
          <w:rFonts w:hint="eastAsia" w:hAnsi="方正仿宋简体" w:cs="方正仿宋简体"/>
          <w:b w:val="0"/>
          <w:bCs w:val="0"/>
          <w:color w:val="auto"/>
          <w:sz w:val="32"/>
          <w:szCs w:val="32"/>
          <w:highlight w:val="none"/>
          <w:lang w:val="en-US" w:eastAsia="zh-CN"/>
        </w:rPr>
        <w:t>导致</w:t>
      </w: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  <w:lang w:val="en-US" w:eastAsia="zh-CN"/>
        </w:rPr>
        <w:t>预算数大于执行数。</w:t>
      </w:r>
    </w:p>
    <w:p w14:paraId="2C233F5B">
      <w:pPr>
        <w:spacing w:line="560" w:lineRule="exact"/>
        <w:ind w:firstLine="632" w:firstLineChars="200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</w:rPr>
        <w:t>有关建议</w:t>
      </w:r>
    </w:p>
    <w:p w14:paraId="28A6D33C">
      <w:pPr>
        <w:shd w:val="clear" w:color="auto" w:fill="auto"/>
        <w:spacing w:line="560" w:lineRule="exact"/>
        <w:ind w:firstLine="632" w:firstLineChars="200"/>
        <w:outlineLvl w:val="0"/>
        <w:rPr>
          <w:rFonts w:hint="eastAsia"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  <w:lang w:val="en-US" w:eastAsia="zh-CN"/>
        </w:rPr>
        <w:t>1.多进行有关绩效管理工作方面的培训。积极组织第三方开展绩效管理工作培训，进一步夯实业务基础，提高我单位绩效人员水平。</w:t>
      </w:r>
    </w:p>
    <w:p w14:paraId="662D8883">
      <w:pPr>
        <w:shd w:val="clear" w:color="auto" w:fill="auto"/>
        <w:spacing w:line="560" w:lineRule="exact"/>
        <w:ind w:firstLine="632" w:firstLineChars="200"/>
        <w:outlineLvl w:val="0"/>
        <w:rPr>
          <w:rFonts w:hint="eastAsia"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  <w:lang w:val="en-US" w:eastAsia="zh-CN"/>
        </w:rPr>
        <w:t>2.专门设定对绩效工作人员定职、定岗、定责等相关制度措施，进一步提升我单位绩效管理工作业务水平，扎实做好绩效管理工作。</w:t>
      </w:r>
    </w:p>
    <w:p w14:paraId="68BA50B2">
      <w:pPr>
        <w:shd w:val="clear" w:color="auto" w:fill="auto"/>
        <w:spacing w:line="560" w:lineRule="exact"/>
        <w:ind w:firstLine="632" w:firstLineChars="200"/>
        <w:outlineLvl w:val="0"/>
        <w:rPr>
          <w:rFonts w:hint="eastAsia"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  <w:lang w:val="en-US" w:eastAsia="zh-CN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09576EDF">
      <w:pPr>
        <w:shd w:val="clear" w:color="auto" w:fill="auto"/>
        <w:spacing w:line="560" w:lineRule="exact"/>
        <w:ind w:firstLine="632" w:firstLineChars="200"/>
        <w:outlineLvl w:val="0"/>
        <w:rPr>
          <w:rFonts w:hint="eastAsia" w:ascii="Times New Roman" w:hAnsi="方正仿宋简体" w:eastAsia="方正仿宋简体" w:cs="方正仿宋简体"/>
          <w:b w:val="0"/>
          <w:bCs w:val="0"/>
          <w:color w:val="auto"/>
          <w:sz w:val="22"/>
          <w:szCs w:val="28"/>
          <w:highlight w:val="none"/>
        </w:rPr>
      </w:pP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  <w:lang w:val="en-US" w:eastAsia="zh-CN"/>
        </w:rPr>
        <w:t>4.进一步完善项目评价过程中有关数据和资料的收集、整理、审核及分析。项目启动时同步做好档案的归纳与整理，及时整理、收</w:t>
      </w: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spacing w:val="4"/>
          <w:sz w:val="32"/>
          <w:szCs w:val="32"/>
          <w:highlight w:val="none"/>
          <w:lang w:val="en-US" w:eastAsia="zh-CN"/>
        </w:rPr>
        <w:t>集</w:t>
      </w: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spacing w:val="6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spacing w:val="4"/>
          <w:sz w:val="32"/>
          <w:szCs w:val="32"/>
          <w:highlight w:val="none"/>
          <w:lang w:val="en-US" w:eastAsia="zh-CN"/>
        </w:rPr>
        <w:t>汇总</w:t>
      </w: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spacing w:val="6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spacing w:val="4"/>
          <w:sz w:val="32"/>
          <w:szCs w:val="32"/>
          <w:highlight w:val="none"/>
          <w:lang w:val="en-US" w:eastAsia="zh-CN"/>
        </w:rPr>
        <w:t>健全档案资料</w:t>
      </w: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spacing w:val="6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spacing w:val="4"/>
          <w:sz w:val="32"/>
          <w:szCs w:val="32"/>
          <w:highlight w:val="none"/>
          <w:lang w:val="en-US" w:eastAsia="zh-CN"/>
        </w:rPr>
        <w:t>项目后续管理有待进一步加强</w:t>
      </w: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spacing w:val="-2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  <w:lang w:val="en-US" w:eastAsia="zh-CN"/>
        </w:rPr>
        <w:t>跟踪</w:t>
      </w: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sz w:val="36"/>
          <w:szCs w:val="32"/>
          <w:highlight w:val="none"/>
        </w:rPr>
        <w:t>。</w:t>
      </w:r>
    </w:p>
    <w:p w14:paraId="002244D4">
      <w:pPr>
        <w:shd w:val="clear" w:color="auto" w:fill="auto"/>
        <w:spacing w:line="560" w:lineRule="exact"/>
        <w:ind w:firstLine="632" w:firstLineChars="200"/>
        <w:outlineLvl w:val="0"/>
        <w:rPr>
          <w:rFonts w:hint="eastAsia"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sz w:val="32"/>
          <w:szCs w:val="32"/>
          <w:highlight w:val="none"/>
          <w:lang w:val="en-US" w:eastAsia="zh-CN"/>
        </w:rPr>
        <w:t>5.进一步加强对绩效管理工作的组织领导，提高对预算绩效管理工作重要性的认识，总结经验查找问题，抓紧研究制定更全面更完善的绩效评价管理办法。</w:t>
      </w:r>
    </w:p>
    <w:p w14:paraId="1E09FD62">
      <w:pPr>
        <w:spacing w:line="560" w:lineRule="exact"/>
        <w:ind w:firstLine="632" w:firstLineChars="200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八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</w:rPr>
        <w:t>其他需要说</w:t>
      </w:r>
      <w:bookmarkStart w:id="0" w:name="page8"/>
      <w:bookmarkEnd w:id="0"/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</w:rPr>
        <w:t>明的问题</w:t>
      </w:r>
    </w:p>
    <w:p w14:paraId="0E63CE5A">
      <w:pPr>
        <w:widowControl w:val="0"/>
        <w:spacing w:after="0" w:line="560" w:lineRule="exact"/>
        <w:ind w:left="0" w:leftChars="0" w:firstLine="632" w:firstLineChars="200"/>
        <w:jc w:val="both"/>
        <w:rPr>
          <w:rFonts w:hint="eastAsia" w:ascii="Times New Roman" w:hAnsi="方正仿宋简体" w:eastAsia="方正仿宋简体" w:cs="方正仿宋简体"/>
          <w:b w:val="0"/>
          <w:bCs w:val="0"/>
          <w:color w:val="auto"/>
          <w:kern w:val="2"/>
          <w:sz w:val="32"/>
          <w:szCs w:val="32"/>
          <w:highlight w:val="none"/>
          <w:lang w:val="en-US" w:bidi="ar-SA"/>
        </w:rPr>
      </w:pPr>
      <w:r>
        <w:rPr>
          <w:rFonts w:hint="eastAsia" w:ascii="Times New Roman" w:hAnsi="方正仿宋简体" w:eastAsia="方正仿宋简体" w:cs="方正仿宋简体"/>
          <w:b w:val="0"/>
          <w:bCs w:val="0"/>
          <w:color w:val="auto"/>
          <w:kern w:val="2"/>
          <w:sz w:val="32"/>
          <w:szCs w:val="32"/>
          <w:highlight w:val="none"/>
          <w:lang w:val="en-US" w:bidi="ar-SA"/>
        </w:rPr>
        <w:t>本项目无其他需说明的问题。</w:t>
      </w:r>
    </w:p>
    <w:p w14:paraId="217CE0E7">
      <w:pPr>
        <w:spacing w:line="560" w:lineRule="exact"/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sectPr>
          <w:footerReference r:id="rId3" w:type="default"/>
          <w:pgSz w:w="11906" w:h="16838"/>
          <w:pgMar w:top="2098" w:right="1531" w:bottom="1984" w:left="1531" w:header="851" w:footer="1400" w:gutter="0"/>
          <w:pgNumType w:start="1"/>
          <w:cols w:space="0" w:num="1"/>
          <w:rtlGutter w:val="0"/>
          <w:docGrid w:type="linesAndChars" w:linePitch="579" w:charSpace="-849"/>
        </w:sectPr>
      </w:pPr>
    </w:p>
    <w:p w14:paraId="6E17F453">
      <w:pPr>
        <w:rPr>
          <w:rFonts w:ascii="Times New Roman" w:hAnsi="方正仿宋简体" w:eastAsia="方正仿宋简体" w:cs="方正仿宋简体"/>
          <w:b w:val="0"/>
          <w:bCs w:val="0"/>
        </w:rPr>
      </w:pPr>
      <w:bookmarkStart w:id="1" w:name="_GoBack"/>
      <w:bookmarkEnd w:id="1"/>
    </w:p>
    <w:sectPr>
      <w:footerReference r:id="rId4" w:type="default"/>
      <w:pgSz w:w="16838" w:h="11906" w:orient="landscape"/>
      <w:pgMar w:top="2098" w:right="1531" w:bottom="1984" w:left="1531" w:header="851" w:footer="140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08AEC02-F4D8-4A7D-B7F1-0BC04016C80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E5FD3D5E-C57C-40FC-8706-FB11932AF254}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3" w:fontKey="{D57304D8-57FF-498D-913C-E67B748EDEB0}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  <w:embedRegular r:id="rId4" w:fontKey="{D9031288-2543-49F9-9718-0B605BB59686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F8E9DDDD-CEA2-4D4D-80AE-BD70C44AF6BA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6" w:fontKey="{0B51ECBC-872F-4F27-B564-B0E9E2DD70DA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2188AE16-1828-45C1-AAB4-7D27FC5323CA}"/>
  </w:font>
  <w:font w:name="GWZT-EN">
    <w:panose1 w:val="02020400000000000000"/>
    <w:charset w:val="00"/>
    <w:family w:val="auto"/>
    <w:pitch w:val="default"/>
    <w:sig w:usb0="A00002BF" w:usb1="38CF7CFA" w:usb2="00082016" w:usb3="00000000" w:csb0="00000003" w:csb1="00000000"/>
    <w:embedRegular r:id="rId8" w:fontKey="{4986978A-08C9-4998-AF38-F7096A511AD9}"/>
  </w:font>
  <w:font w:name="WPSEMBED5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PSEMBED6">
    <w:panose1 w:val="02020400000000000000"/>
    <w:charset w:val="00"/>
    <w:family w:val="auto"/>
    <w:pitch w:val="default"/>
    <w:sig w:usb0="A00002BF" w:usb1="38CF7CFA" w:usb2="00082016" w:usb3="00000000" w:csb0="00000003" w:csb1="00000000"/>
  </w:font>
  <w:font w:name="WPSEMBED4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GWZT-EN" w:hAnsi="GWZT-EN" w:eastAsia="GWZT-EN" w:cs="GWZT-EN"/>
        <w:b w:val="0"/>
        <w:bCs w:val="0"/>
        <w:kern w:val="2"/>
        <w:sz w:val="21"/>
        <w:szCs w:val="24"/>
        <w:lang w:val="en-US" w:eastAsia="zh-CN" w:bidi="ar-SA"/>
      </w:rPr>
      <w:id w:val="147465066"/>
    </w:sdtPr>
    <w:sdtEndPr>
      <w:rPr>
        <w:rFonts w:ascii="GWZT-EN" w:hAnsi="GWZT-EN" w:eastAsia="GWZT-EN" w:cs="GWZT-EN"/>
        <w:b w:val="0"/>
        <w:bCs w:val="0"/>
        <w:kern w:val="2"/>
        <w:sz w:val="18"/>
        <w:szCs w:val="18"/>
        <w:lang w:val="en-US" w:eastAsia="zh-CN" w:bidi="ar-SA"/>
      </w:rPr>
    </w:sdtEndPr>
    <w:sdtContent>
      <w:p w14:paraId="7BA95C7B">
        <w:pPr>
          <w:widowControl w:val="0"/>
          <w:tabs>
            <w:tab w:val="center" w:pos="4153"/>
            <w:tab w:val="right" w:pos="8306"/>
          </w:tabs>
          <w:snapToGrid w:val="0"/>
          <w:jc w:val="center"/>
          <w:rPr>
            <w:rFonts w:ascii="GWZT-EN" w:hAnsi="GWZT-EN" w:eastAsia="GWZT-EN" w:cs="GWZT-EN"/>
            <w:b w:val="0"/>
            <w:bCs w:val="0"/>
            <w:kern w:val="2"/>
            <w:sz w:val="18"/>
            <w:szCs w:val="18"/>
            <w:lang w:val="en-US" w:eastAsia="zh-CN" w:bidi="ar-SA"/>
          </w:rPr>
        </w:pPr>
        <w:r>
          <w:rPr>
            <w:rFonts w:ascii="GWZT-EN" w:hAnsi="GWZT-EN" w:eastAsia="GWZT-EN" w:cs="GWZT-EN"/>
            <w:b w:val="0"/>
            <w:bCs w:val="0"/>
            <w:kern w:val="2"/>
            <w:sz w:val="18"/>
            <w:szCs w:val="18"/>
            <w:lang w:val="en-US" w:eastAsia="zh-CN" w:bidi="ar-SA"/>
          </w:rPr>
          <w:fldChar w:fldCharType="begin"/>
        </w:r>
        <w:r>
          <w:rPr>
            <w:rFonts w:ascii="GWZT-EN" w:hAnsi="GWZT-EN" w:eastAsia="GWZT-EN" w:cs="GWZT-EN"/>
            <w:b w:val="0"/>
            <w:bCs w:val="0"/>
            <w:kern w:val="2"/>
            <w:sz w:val="18"/>
            <w:szCs w:val="18"/>
            <w:lang w:val="en-US" w:eastAsia="zh-CN" w:bidi="ar-SA"/>
          </w:rPr>
          <w:instrText xml:space="preserve">PAGE   \* MERGEFORMAT</w:instrText>
        </w:r>
        <w:r>
          <w:rPr>
            <w:rFonts w:ascii="GWZT-EN" w:hAnsi="GWZT-EN" w:eastAsia="GWZT-EN" w:cs="GWZT-EN"/>
            <w:b w:val="0"/>
            <w:bCs w:val="0"/>
            <w:kern w:val="2"/>
            <w:sz w:val="18"/>
            <w:szCs w:val="18"/>
            <w:lang w:val="en-US" w:eastAsia="zh-CN" w:bidi="ar-SA"/>
          </w:rPr>
          <w:fldChar w:fldCharType="separate"/>
        </w:r>
        <w:r>
          <w:rPr>
            <w:rFonts w:ascii="GWZT-EN" w:hAnsi="GWZT-EN" w:eastAsia="GWZT-EN" w:cs="GWZT-EN"/>
            <w:b w:val="0"/>
            <w:bCs w:val="0"/>
            <w:kern w:val="2"/>
            <w:sz w:val="18"/>
            <w:szCs w:val="18"/>
            <w:lang w:val="zh-CN" w:eastAsia="zh-CN" w:bidi="ar-SA"/>
          </w:rPr>
          <w:t>13</w:t>
        </w:r>
        <w:r>
          <w:rPr>
            <w:rFonts w:ascii="GWZT-EN" w:hAnsi="GWZT-EN" w:eastAsia="GWZT-EN" w:cs="GWZT-EN"/>
            <w:b w:val="0"/>
            <w:bCs w:val="0"/>
            <w:kern w:val="2"/>
            <w:sz w:val="18"/>
            <w:szCs w:val="18"/>
            <w:lang w:val="en-US" w:eastAsia="zh-CN" w:bidi="ar-SA"/>
          </w:rPr>
          <w:fldChar w:fldCharType="end"/>
        </w:r>
      </w:p>
    </w:sdtContent>
  </w:sdt>
  <w:p w14:paraId="321E63CB"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Calibri" w:eastAsia="宋体" w:cs="Times New Roman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GWZT-EN" w:hAnsi="GWZT-EN" w:eastAsia="GWZT-EN" w:cs="GWZT-EN"/>
        <w:b w:val="0"/>
        <w:bCs w:val="0"/>
      </w:rPr>
      <w:id w:val="147468962"/>
    </w:sdtPr>
    <w:sdtEndPr>
      <w:rPr>
        <w:rFonts w:ascii="GWZT-EN" w:hAnsi="GWZT-EN" w:eastAsia="GWZT-EN" w:cs="GWZT-EN"/>
        <w:b w:val="0"/>
        <w:bCs w:val="0"/>
      </w:rPr>
    </w:sdtEndPr>
    <w:sdtContent>
      <w:p w14:paraId="39C892E6">
        <w:pPr>
          <w:pStyle w:val="9"/>
          <w:jc w:val="center"/>
          <w:rPr>
            <w:rFonts w:ascii="GWZT-EN" w:hAnsi="GWZT-EN" w:eastAsia="GWZT-EN" w:cs="GWZT-EN"/>
            <w:b w:val="0"/>
            <w:bCs w:val="0"/>
          </w:rPr>
        </w:pPr>
        <w:r>
          <w:rPr>
            <w:rFonts w:ascii="GWZT-EN" w:hAnsi="GWZT-EN" w:eastAsia="GWZT-EN" w:cs="GWZT-EN"/>
            <w:b w:val="0"/>
            <w:bCs w:val="0"/>
          </w:rPr>
          <w:fldChar w:fldCharType="begin"/>
        </w:r>
        <w:r>
          <w:rPr>
            <w:rFonts w:ascii="GWZT-EN" w:hAnsi="GWZT-EN" w:eastAsia="GWZT-EN" w:cs="GWZT-EN"/>
            <w:b w:val="0"/>
            <w:bCs w:val="0"/>
          </w:rPr>
          <w:instrText xml:space="preserve">PAGE   \* MERGEFORMAT</w:instrText>
        </w:r>
        <w:r>
          <w:rPr>
            <w:rFonts w:ascii="GWZT-EN" w:hAnsi="GWZT-EN" w:eastAsia="GWZT-EN" w:cs="GWZT-EN"/>
            <w:b w:val="0"/>
            <w:bCs w:val="0"/>
          </w:rPr>
          <w:fldChar w:fldCharType="separate"/>
        </w:r>
        <w:r>
          <w:rPr>
            <w:rFonts w:ascii="GWZT-EN" w:hAnsi="GWZT-EN" w:eastAsia="GWZT-EN" w:cs="GWZT-EN"/>
            <w:b w:val="0"/>
            <w:bCs w:val="0"/>
            <w:lang w:val="zh-CN"/>
          </w:rPr>
          <w:t>13</w:t>
        </w:r>
        <w:r>
          <w:rPr>
            <w:rFonts w:ascii="GWZT-EN" w:hAnsi="GWZT-EN" w:eastAsia="GWZT-EN" w:cs="GWZT-EN"/>
            <w:b w:val="0"/>
            <w:bCs w:val="0"/>
          </w:rPr>
          <w:fldChar w:fldCharType="end"/>
        </w:r>
      </w:p>
    </w:sdtContent>
  </w:sdt>
  <w:p w14:paraId="2011E840">
    <w:pPr>
      <w:pStyle w:val="9"/>
      <w:rPr>
        <w:rFonts w:ascii="Times New Roma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ascii="Times New Roman"/>
      </w:rPr>
    </w:lvl>
  </w:abstractNum>
  <w:abstractNum w:abstractNumId="1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pPr>
        <w:ind w:left="-2"/>
      </w:pPr>
      <w:rPr>
        <w:rFonts w:hint="eastAsia" w:ascii="Times New Roman"/>
      </w:rPr>
    </w:lvl>
  </w:abstractNum>
  <w:abstractNum w:abstractNumId="2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rPr>
        <w:rFonts w:hint="eastAsia" w:ascii="Times New Roman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suff w:val="nothing"/>
      <w:lvlText w:val="（%1）"/>
      <w:lvlJc w:val="left"/>
      <w:rPr>
        <w:rFonts w:ascii="Times New Roman"/>
      </w:rPr>
    </w:lvl>
  </w:abstractNum>
  <w:abstractNum w:abstractNumId="4">
    <w:nsid w:val="03D62ECE"/>
    <w:multiLevelType w:val="singleLevel"/>
    <w:tmpl w:val="03D62ECE"/>
    <w:lvl w:ilvl="0" w:tentative="0">
      <w:start w:val="2"/>
      <w:numFmt w:val="chineseCounting"/>
      <w:suff w:val="nothing"/>
      <w:lvlText w:val="（%1）"/>
      <w:lvlJc w:val="left"/>
      <w:rPr>
        <w:rFonts w:hint="eastAsia" w:ascii="Times New Roman"/>
      </w:rPr>
    </w:lvl>
  </w:abstractNum>
  <w:abstractNum w:abstractNumId="5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 w:ascii="Times New Roma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doNotDisplayPageBoundaries w:val="1"/>
  <w:embedTrueTypeFonts/>
  <w:saveSubsetFonts/>
  <w:bordersDoNotSurroundHeader w:val="0"/>
  <w:bordersDoNotSurroundFooter w:val="0"/>
  <w:doNotTrackMoves/>
  <w:documentProtection w:enforcement="0"/>
  <w:defaultTabStop w:val="420"/>
  <w:drawingGridHorizontalSpacing w:val="158"/>
  <w:drawingGridVerticalSpacing w:val="290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B4FCD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/>
      <w:b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Times New Roman" w:hAnsi="Arial" w:eastAsia="黑体"/>
      <w:sz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Times New Roman"/>
      <w:b/>
      <w:sz w:val="32"/>
    </w:rPr>
  </w:style>
  <w:style w:type="paragraph" w:styleId="6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Times New Roman" w:hAnsi="Arial" w:eastAsia="黑体"/>
      <w:sz w:val="28"/>
    </w:rPr>
  </w:style>
  <w:style w:type="character" w:default="1" w:styleId="16">
    <w:name w:val="Default Paragraph Font"/>
    <w:semiHidden/>
    <w:qFormat/>
    <w:uiPriority w:val="0"/>
    <w:rPr>
      <w:rFonts w:ascii="Times New Roman"/>
    </w:rPr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="Times New Roman" w:hAnsiTheme="majorHAnsi" w:eastAsiaTheme="majorEastAsia"/>
      <w:b/>
      <w:bCs/>
      <w:kern w:val="28"/>
      <w:sz w:val="32"/>
      <w:szCs w:val="32"/>
    </w:rPr>
  </w:style>
  <w:style w:type="paragraph" w:styleId="7">
    <w:name w:val="Body Text"/>
    <w:basedOn w:val="1"/>
    <w:qFormat/>
    <w:uiPriority w:val="0"/>
    <w:pPr>
      <w:spacing w:after="120"/>
    </w:pPr>
    <w:rPr>
      <w:rFonts w:ascii="Times New Roman"/>
    </w:rPr>
  </w:style>
  <w:style w:type="paragraph" w:styleId="8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Calibri"/>
    </w:rPr>
  </w:style>
  <w:style w:type="paragraph" w:styleId="9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Calibri"/>
      <w:sz w:val="18"/>
      <w:szCs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/>
      <w:sz w:val="18"/>
    </w:rPr>
  </w:style>
  <w:style w:type="paragraph" w:styleId="11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/>
      <w:kern w:val="0"/>
      <w:sz w:val="24"/>
      <w:lang w:val="en-US" w:eastAsia="zh-CN"/>
    </w:rPr>
  </w:style>
  <w:style w:type="paragraph" w:styleId="12">
    <w:name w:val="Body Text First Indent"/>
    <w:basedOn w:val="7"/>
    <w:qFormat/>
    <w:uiPriority w:val="0"/>
    <w:pPr>
      <w:spacing w:after="0"/>
      <w:ind w:firstLine="200" w:firstLineChars="200"/>
    </w:pPr>
    <w:rPr>
      <w:rFonts w:ascii="Times New Roman"/>
    </w:rPr>
  </w:style>
  <w:style w:type="paragraph" w:styleId="13">
    <w:name w:val="Body Text First Indent 2"/>
    <w:basedOn w:val="8"/>
    <w:qFormat/>
    <w:uiPriority w:val="0"/>
    <w:pPr>
      <w:ind w:firstLine="420" w:firstLineChars="200"/>
    </w:pPr>
    <w:rPr>
      <w:rFonts w:ascii="Times New Roman"/>
    </w:rPr>
  </w:style>
  <w:style w:type="table" w:styleId="15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7">
    <w:name w:val="Strong"/>
    <w:basedOn w:val="16"/>
    <w:qFormat/>
    <w:uiPriority w:val="0"/>
    <w:rPr>
      <w:b/>
      <w:bCs/>
    </w:rPr>
  </w:style>
  <w:style w:type="paragraph" w:customStyle="1" w:styleId="18">
    <w:name w:val="Comment Text"/>
    <w:basedOn w:val="1"/>
    <w:qFormat/>
    <w:uiPriority w:val="0"/>
    <w:pPr>
      <w:jc w:val="left"/>
    </w:pPr>
    <w:rPr>
      <w:rFonts w:ascii="Times New Roman"/>
    </w:rPr>
  </w:style>
  <w:style w:type="paragraph" w:customStyle="1" w:styleId="19">
    <w:name w:val="闻政-正文段落文字"/>
    <w:basedOn w:val="1"/>
    <w:qFormat/>
    <w:uiPriority w:val="3"/>
    <w:pPr>
      <w:spacing w:line="500" w:lineRule="exact"/>
      <w:ind w:firstLine="200"/>
    </w:pPr>
    <w:rPr>
      <w:rFonts w:ascii="Times New Roman"/>
      <w:kern w:val="0"/>
      <w:szCs w:val="28"/>
    </w:rPr>
  </w:style>
  <w:style w:type="character" w:customStyle="1" w:styleId="20">
    <w:name w:val="fontstyle01"/>
    <w:qFormat/>
    <w:uiPriority w:val="0"/>
    <w:rPr>
      <w:rFonts w:ascii="Times New Roman" w:hAnsi="方正仿宋简体" w:eastAsia="方正仿宋简体" w:cs="方正仿宋简体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BFEE0A05757C44948873AED69C64332E_13</vt:lpwstr>
  </property>
  <property fmtid="{D5CDD505-2E9C-101B-9397-08002B2CF9AE}" pid="4" name="KSOTemplateDocerSaveRecord">
    <vt:lpwstr>eyJoZGlkIjoiZTNiMmJjMGUyMDNhMGI0MjllZTc4OTE3ODRjOTBjMWQiLCJ1c2VySWQiOiIyNjUxMjc2NTkifQ==</vt:lpwstr>
  </property>
</Properties>
</file>

<file path=customXml/itemProps1.xml><?xml version="1.0" encoding="utf-8"?>
<ds:datastoreItem xmlns:ds="http://schemas.openxmlformats.org/officeDocument/2006/customXml" ds:itemID="{eb94046e-268f-4947-9f2b-ecb0cedec4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12483</Words>
  <Characters>12979</Characters>
  <Lines>0</Lines>
  <Paragraphs>0</Paragraphs>
  <TotalTime>41</TotalTime>
  <ScaleCrop>false</ScaleCrop>
  <LinksUpToDate>false</LinksUpToDate>
  <CharactersWithSpaces>13026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2025-05-21T08:24:00Z</dcterms:created>
  <dc:creator>Casta</dc:creator>
  <cp:lastModifiedBy>白羊</cp:lastModifiedBy>
  <cp:lastPrinted>2025-05-21T08:42:00Z</cp:lastPrinted>
  <dcterms:modified xsi:type="dcterms:W3CDTF">2025-12-05T03:23:50Z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BFEE0A05757C44948873AED69C64332E_13</vt:lpwstr>
  </property>
  <property fmtid="{D5CDD505-2E9C-101B-9397-08002B2CF9AE}" pid="4" name="KSOTemplateDocerSaveRecord">
    <vt:lpwstr>eyJoZGlkIjoiN2E1ZDY0MDI5MTE3YjM0ZGMyMzg4N2EwMDI4ZjJiM2YiLCJ1c2VySWQiOiI0MzE2NzY3NzkifQ==</vt:lpwstr>
  </property>
</Properties>
</file>